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D74E7" w14:textId="77777777" w:rsidR="0006549B" w:rsidRDefault="0006549B" w:rsidP="00C67BBC">
      <w:pPr>
        <w:spacing w:before="0" w:after="160" w:line="259" w:lineRule="auto"/>
        <w:jc w:val="center"/>
      </w:pPr>
      <w:bookmarkStart w:id="0" w:name="_Toc491347110"/>
    </w:p>
    <w:p w14:paraId="49AAB0F6" w14:textId="77777777" w:rsidR="0006549B" w:rsidRDefault="0006549B">
      <w:pPr>
        <w:spacing w:before="0" w:after="160" w:line="259" w:lineRule="auto"/>
      </w:pPr>
    </w:p>
    <w:p w14:paraId="4CEF3BE9" w14:textId="77777777" w:rsidR="00B05DCA" w:rsidRDefault="00B05DCA">
      <w:pPr>
        <w:spacing w:before="0" w:after="160" w:line="259" w:lineRule="auto"/>
        <w:rPr>
          <w:rFonts w:asciiTheme="majorHAnsi" w:hAnsiTheme="majorHAnsi" w:cstheme="majorHAnsi"/>
          <w:b/>
          <w:color w:val="4472C4" w:themeColor="accent1"/>
          <w:sz w:val="26"/>
          <w:szCs w:val="26"/>
        </w:rPr>
      </w:pPr>
      <w:r w:rsidRPr="001A399A">
        <w:rPr>
          <w:rFonts w:asciiTheme="majorHAnsi" w:hAnsiTheme="majorHAnsi" w:cstheme="majorHAnsi"/>
          <w:b/>
          <w:color w:val="FFC000" w:themeColor="accent4"/>
          <w:sz w:val="40"/>
          <w:szCs w:val="40"/>
        </w:rPr>
        <w:t>Technical basis for OLI membrane technology</w:t>
      </w:r>
      <w:r>
        <w:rPr>
          <w:rFonts w:asciiTheme="majorHAnsi" w:hAnsiTheme="majorHAnsi" w:cstheme="majorHAnsi"/>
          <w:b/>
          <w:color w:val="4472C4" w:themeColor="accent1"/>
          <w:sz w:val="26"/>
          <w:szCs w:val="26"/>
        </w:rPr>
        <w:br/>
      </w:r>
    </w:p>
    <w:p w14:paraId="10DA44DF" w14:textId="77777777" w:rsidR="00F909AC" w:rsidRDefault="00B05DCA">
      <w:pPr>
        <w:spacing w:before="0" w:after="160" w:line="259" w:lineRule="auto"/>
        <w:rPr>
          <w:rFonts w:asciiTheme="majorHAnsi" w:hAnsiTheme="majorHAnsi" w:cstheme="majorHAnsi"/>
          <w:b/>
          <w:color w:val="4472C4" w:themeColor="accent1"/>
          <w:sz w:val="26"/>
          <w:szCs w:val="26"/>
        </w:rPr>
      </w:pPr>
      <w:r w:rsidRPr="001A399A">
        <w:rPr>
          <w:rFonts w:asciiTheme="majorHAnsi" w:hAnsiTheme="majorHAnsi" w:cstheme="majorHAnsi"/>
          <w:b/>
          <w:color w:val="767171" w:themeColor="background2" w:themeShade="80"/>
          <w:sz w:val="26"/>
          <w:szCs w:val="26"/>
        </w:rPr>
        <w:t>An OLI white paper</w:t>
      </w:r>
    </w:p>
    <w:p w14:paraId="2090CFB8" w14:textId="77777777" w:rsidR="00FA2F55" w:rsidRPr="00E24500" w:rsidRDefault="00E24500" w:rsidP="00E24500">
      <w:pPr>
        <w:spacing w:before="0" w:after="160" w:line="259" w:lineRule="auto"/>
        <w:rPr>
          <w:rFonts w:asciiTheme="majorHAnsi" w:hAnsiTheme="majorHAnsi" w:cstheme="majorHAnsi"/>
          <w:b/>
          <w:sz w:val="24"/>
          <w:szCs w:val="24"/>
        </w:rPr>
      </w:pPr>
      <w:r w:rsidRPr="00E24500">
        <w:rPr>
          <w:rFonts w:asciiTheme="majorHAnsi" w:hAnsiTheme="majorHAnsi" w:cstheme="majorHAnsi"/>
          <w:b/>
          <w:sz w:val="24"/>
          <w:szCs w:val="24"/>
        </w:rPr>
        <w:t>This paper documents the approach that OLI has implemented to model the reverse osmosis membrane behavior.</w:t>
      </w:r>
    </w:p>
    <w:p w14:paraId="6E7D7BDD" w14:textId="77777777" w:rsidR="0006549B" w:rsidRDefault="0006549B">
      <w:pPr>
        <w:spacing w:before="0" w:after="160" w:line="259" w:lineRule="auto"/>
      </w:pPr>
    </w:p>
    <w:p w14:paraId="5F05CC10" w14:textId="77777777" w:rsidR="00F909AC" w:rsidRDefault="00F909AC">
      <w:pPr>
        <w:spacing w:before="0" w:after="160" w:line="259" w:lineRule="auto"/>
      </w:pPr>
    </w:p>
    <w:p w14:paraId="7C726889" w14:textId="77777777" w:rsidR="00F909AC" w:rsidRDefault="00F909AC">
      <w:pPr>
        <w:spacing w:before="0" w:after="160" w:line="259" w:lineRule="auto"/>
      </w:pPr>
    </w:p>
    <w:p w14:paraId="4C215118" w14:textId="77777777" w:rsidR="00F909AC" w:rsidRDefault="00F909AC">
      <w:pPr>
        <w:spacing w:before="0" w:after="160" w:line="259" w:lineRule="auto"/>
      </w:pPr>
    </w:p>
    <w:p w14:paraId="3530F357" w14:textId="77777777" w:rsidR="00F909AC" w:rsidRDefault="00F909AC">
      <w:pPr>
        <w:spacing w:before="0" w:after="160" w:line="259" w:lineRule="auto"/>
      </w:pPr>
    </w:p>
    <w:p w14:paraId="31F4207B" w14:textId="77777777" w:rsidR="00F909AC" w:rsidRDefault="00F909AC">
      <w:pPr>
        <w:spacing w:before="0" w:after="160" w:line="259" w:lineRule="auto"/>
      </w:pPr>
    </w:p>
    <w:p w14:paraId="7D8EDA48" w14:textId="77777777" w:rsidR="00F909AC" w:rsidRDefault="00F909AC">
      <w:pPr>
        <w:spacing w:before="0" w:after="160" w:line="259" w:lineRule="auto"/>
      </w:pPr>
    </w:p>
    <w:p w14:paraId="6C5906EC" w14:textId="77777777" w:rsidR="00F909AC" w:rsidRDefault="00F909AC">
      <w:pPr>
        <w:spacing w:before="0" w:after="160" w:line="259" w:lineRule="auto"/>
      </w:pPr>
    </w:p>
    <w:p w14:paraId="2E6B74DC" w14:textId="77777777" w:rsidR="005201F0" w:rsidRDefault="005201F0">
      <w:pPr>
        <w:spacing w:before="0" w:after="160" w:line="259" w:lineRule="auto"/>
      </w:pPr>
    </w:p>
    <w:p w14:paraId="6B6EEFC4" w14:textId="77777777" w:rsidR="006E2FCF" w:rsidRDefault="006E2FCF">
      <w:pPr>
        <w:spacing w:before="0" w:after="160" w:line="259" w:lineRule="auto"/>
      </w:pPr>
    </w:p>
    <w:p w14:paraId="19F115DC" w14:textId="77777777" w:rsidR="00B05DCA" w:rsidRDefault="00B05DCA">
      <w:pPr>
        <w:spacing w:before="0" w:after="160" w:line="259" w:lineRule="auto"/>
      </w:pPr>
    </w:p>
    <w:p w14:paraId="50E062E0" w14:textId="77777777" w:rsidR="00B05DCA" w:rsidRDefault="00B05DCA">
      <w:pPr>
        <w:spacing w:before="0" w:after="160" w:line="259" w:lineRule="auto"/>
      </w:pPr>
    </w:p>
    <w:p w14:paraId="4B3E0FEE" w14:textId="77777777" w:rsidR="00B05DCA" w:rsidRDefault="00B05DCA">
      <w:pPr>
        <w:spacing w:before="0" w:after="160" w:line="259" w:lineRule="auto"/>
      </w:pPr>
    </w:p>
    <w:p w14:paraId="26F5EE29" w14:textId="09B2D161" w:rsidR="00B05DCA" w:rsidRDefault="00B05DCA">
      <w:pPr>
        <w:spacing w:before="0" w:after="160" w:line="259" w:lineRule="auto"/>
      </w:pPr>
    </w:p>
    <w:p w14:paraId="2C1737A7" w14:textId="11BECB1A" w:rsidR="001A399A" w:rsidRDefault="001A399A">
      <w:pPr>
        <w:spacing w:before="0" w:after="160" w:line="259" w:lineRule="auto"/>
      </w:pPr>
    </w:p>
    <w:p w14:paraId="5F825838" w14:textId="77777777" w:rsidR="001A399A" w:rsidRDefault="001A399A">
      <w:pPr>
        <w:spacing w:before="0" w:after="160" w:line="259" w:lineRule="auto"/>
      </w:pPr>
    </w:p>
    <w:p w14:paraId="43BE666C" w14:textId="645077FB" w:rsidR="00B05DCA" w:rsidRDefault="00B05DCA">
      <w:pPr>
        <w:spacing w:before="0" w:after="160" w:line="259" w:lineRule="auto"/>
      </w:pPr>
    </w:p>
    <w:p w14:paraId="7A6C1AAB" w14:textId="77777777" w:rsidR="006E2FCF" w:rsidRPr="008F47DC" w:rsidRDefault="006E2FCF" w:rsidP="006E2FCF">
      <w:pPr>
        <w:pStyle w:val="Heading1"/>
      </w:pPr>
      <w:bookmarkStart w:id="1" w:name="_Toc499891543"/>
      <w:bookmarkEnd w:id="0"/>
      <w:r w:rsidRPr="001A399A">
        <w:rPr>
          <w:color w:val="FFC000" w:themeColor="accent4"/>
        </w:rPr>
        <w:lastRenderedPageBreak/>
        <w:t>OLI Membrane Technology</w:t>
      </w:r>
      <w:r>
        <w:br/>
      </w:r>
      <w:bookmarkEnd w:id="1"/>
    </w:p>
    <w:p w14:paraId="2047FF5E" w14:textId="77777777" w:rsidR="006E2FCF" w:rsidRPr="00C67BBC" w:rsidRDefault="006E2FCF" w:rsidP="006E2FCF">
      <w:pPr>
        <w:pStyle w:val="Heading4"/>
        <w:rPr>
          <w:rStyle w:val="Heading2Char"/>
          <w:rFonts w:asciiTheme="minorHAnsi" w:hAnsiTheme="minorHAnsi" w:cstheme="minorHAnsi"/>
          <w:b/>
          <w:i/>
        </w:rPr>
      </w:pPr>
      <w:r w:rsidRPr="00F1112F">
        <w:t>A rigorous simulator for the reverse osmosis process</w:t>
      </w:r>
      <w:r>
        <w:br/>
      </w:r>
      <w:r w:rsidRPr="008364D1">
        <w:rPr>
          <w:rStyle w:val="Heading2Char"/>
          <w:rFonts w:cstheme="majorHAnsi"/>
          <w:b/>
          <w:i/>
        </w:rPr>
        <w:t>S</w:t>
      </w:r>
      <w:r w:rsidR="008364D1">
        <w:rPr>
          <w:rStyle w:val="Heading2Char"/>
          <w:rFonts w:cstheme="majorHAnsi"/>
          <w:b/>
          <w:i/>
        </w:rPr>
        <w:t xml:space="preserve">ummary </w:t>
      </w:r>
    </w:p>
    <w:p w14:paraId="051C8CB3" w14:textId="77777777" w:rsidR="006E2FCF" w:rsidRDefault="006E2FCF" w:rsidP="006E2FCF">
      <w:pPr>
        <w:spacing w:line="271" w:lineRule="auto"/>
      </w:pPr>
      <w:r w:rsidRPr="0080450B">
        <w:t xml:space="preserve">To model the transport mechanism inside the membrane, solution-diffusion approach has been incorporated. In the solution-diffusion model, it is proposed that transfer of ions and water through polymeric membranes occurs via a solution diffusion mechanism because of dissolution of permeates in the membrane materials </w:t>
      </w:r>
      <w:r w:rsidRPr="0080450B">
        <w:fldChar w:fldCharType="begin"/>
      </w:r>
      <w:r w:rsidRPr="0080450B">
        <w:instrText>ADDIN RW.CITE{{551 Zaidi,S.M.Javaid 2015}}</w:instrText>
      </w:r>
      <w:r w:rsidRPr="0080450B">
        <w:fldChar w:fldCharType="separate"/>
      </w:r>
      <w:r w:rsidRPr="0080450B">
        <w:t>[1]</w:t>
      </w:r>
      <w:r w:rsidRPr="0080450B">
        <w:fldChar w:fldCharType="end"/>
      </w:r>
      <w:r w:rsidRPr="0080450B">
        <w:t xml:space="preserve">. The water flux through the membrane is a function of water permeability coefficient, hydrodynamic pressure difference and osmotic pressure difference across the membrane, whereas, the solute flux through the membrane is a function of solute permeability constant and solute concentration gradient across the membrane </w:t>
      </w:r>
      <w:r w:rsidRPr="0080450B">
        <w:fldChar w:fldCharType="begin"/>
      </w:r>
      <w:r w:rsidRPr="0080450B">
        <w:instrText>ADDIN RW.CITE{{553 Mukherjee,P. 2003}}</w:instrText>
      </w:r>
      <w:r w:rsidRPr="0080450B">
        <w:fldChar w:fldCharType="separate"/>
      </w:r>
      <w:r w:rsidRPr="0080450B">
        <w:t>[2]</w:t>
      </w:r>
      <w:r w:rsidRPr="0080450B">
        <w:fldChar w:fldCharType="end"/>
      </w:r>
      <w:r w:rsidRPr="0080450B">
        <w:t xml:space="preserve">. Molecular size of the ions strongly affect the transport characteristics of the ions due to the sieving action of the membranes. However, in water environment, different number of water molecules surround each cation and anion. Thus, the real radius of an ion is the one that considers the water molecules around it (i.e., the hydrated ion radius) rather than the absolute ionic crystal radius. Regardless of membrane type, the type of experiment, and the membrane configuration, the salt permeabilities are inversely proportional to the hydrated radii of the ions </w:t>
      </w:r>
      <w:r w:rsidRPr="0080450B">
        <w:fldChar w:fldCharType="begin"/>
      </w:r>
      <w:r w:rsidRPr="0080450B">
        <w:instrText>ADDIN RW.CITE{{556 Ghiu,Silvana.MelaniaStefania 2003}}</w:instrText>
      </w:r>
      <w:r w:rsidRPr="0080450B">
        <w:fldChar w:fldCharType="separate"/>
      </w:r>
      <w:r w:rsidRPr="0080450B">
        <w:t>[3]</w:t>
      </w:r>
      <w:r w:rsidRPr="0080450B">
        <w:fldChar w:fldCharType="end"/>
      </w:r>
      <w:r w:rsidRPr="0080450B">
        <w:t xml:space="preserve">. In OLI membrane model, permeability of ions has been correlated with their hydration numbers. </w:t>
      </w:r>
    </w:p>
    <w:p w14:paraId="334E5072" w14:textId="77777777" w:rsidR="006E2FCF" w:rsidRPr="0080450B" w:rsidRDefault="006E2FCF" w:rsidP="006E2FCF">
      <w:pPr>
        <w:spacing w:before="180" w:line="271" w:lineRule="auto"/>
      </w:pPr>
      <w:r w:rsidRPr="0080450B">
        <w:t>In general, the typical order of rejection of cations by reverse osmosis membranes follow Fe</w:t>
      </w:r>
      <w:r w:rsidRPr="0080450B">
        <w:rPr>
          <w:vertAlign w:val="superscript"/>
        </w:rPr>
        <w:t>3+</w:t>
      </w:r>
      <w:r w:rsidRPr="0080450B">
        <w:t xml:space="preserve"> &gt; Ni</w:t>
      </w:r>
      <w:r w:rsidRPr="0080450B">
        <w:rPr>
          <w:vertAlign w:val="superscript"/>
        </w:rPr>
        <w:t>2+</w:t>
      </w:r>
      <w:r w:rsidRPr="0080450B">
        <w:t xml:space="preserve"> </w:t>
      </w:r>
      <m:oMath>
        <m:r>
          <w:rPr>
            <w:rFonts w:ascii="Cambria Math" w:hAnsi="Cambria Math"/>
          </w:rPr>
          <m:t>≈</m:t>
        </m:r>
      </m:oMath>
      <w:r w:rsidRPr="0080450B">
        <w:t xml:space="preserve">  Cu</w:t>
      </w:r>
      <w:r w:rsidRPr="0080450B">
        <w:rPr>
          <w:vertAlign w:val="superscript"/>
        </w:rPr>
        <w:t>2+</w:t>
      </w:r>
      <w:r w:rsidRPr="0080450B">
        <w:t xml:space="preserve"> &gt; Mg</w:t>
      </w:r>
      <w:r w:rsidRPr="0080450B">
        <w:rPr>
          <w:vertAlign w:val="superscript"/>
        </w:rPr>
        <w:t>2+</w:t>
      </w:r>
      <w:r w:rsidRPr="0080450B">
        <w:t xml:space="preserve"> &gt; Ca</w:t>
      </w:r>
      <w:r w:rsidRPr="0080450B">
        <w:rPr>
          <w:vertAlign w:val="superscript"/>
        </w:rPr>
        <w:t>2+</w:t>
      </w:r>
      <w:r w:rsidRPr="0080450B">
        <w:t xml:space="preserve"> &gt; Na</w:t>
      </w:r>
      <w:r w:rsidRPr="0080450B">
        <w:rPr>
          <w:vertAlign w:val="superscript"/>
        </w:rPr>
        <w:t>+</w:t>
      </w:r>
      <w:r w:rsidRPr="0080450B">
        <w:t xml:space="preserve"> &gt; K</w:t>
      </w:r>
      <w:r w:rsidRPr="0080450B">
        <w:rPr>
          <w:vertAlign w:val="superscript"/>
        </w:rPr>
        <w:t>+</w:t>
      </w:r>
      <w:r w:rsidRPr="0080450B">
        <w:t>, and PO</w:t>
      </w:r>
      <w:r w:rsidRPr="0080450B">
        <w:rPr>
          <w:vertAlign w:val="subscript"/>
        </w:rPr>
        <w:t>4</w:t>
      </w:r>
      <w:r w:rsidRPr="0080450B">
        <w:rPr>
          <w:vertAlign w:val="superscript"/>
        </w:rPr>
        <w:t>3-</w:t>
      </w:r>
      <w:r w:rsidRPr="0080450B">
        <w:t xml:space="preserve"> &gt; SO</w:t>
      </w:r>
      <w:r w:rsidRPr="0080450B">
        <w:rPr>
          <w:vertAlign w:val="subscript"/>
        </w:rPr>
        <w:t>4</w:t>
      </w:r>
      <w:r w:rsidRPr="0080450B">
        <w:rPr>
          <w:vertAlign w:val="superscript"/>
        </w:rPr>
        <w:t>2-</w:t>
      </w:r>
      <w:r w:rsidRPr="0080450B">
        <w:t xml:space="preserve"> &gt; HCO</w:t>
      </w:r>
      <w:r w:rsidRPr="0080450B">
        <w:rPr>
          <w:vertAlign w:val="subscript"/>
        </w:rPr>
        <w:t>3</w:t>
      </w:r>
      <w:r w:rsidRPr="0080450B">
        <w:rPr>
          <w:vertAlign w:val="superscript"/>
        </w:rPr>
        <w:t>-</w:t>
      </w:r>
      <w:r w:rsidRPr="0080450B">
        <w:t xml:space="preserve"> &gt; Br</w:t>
      </w:r>
      <w:r w:rsidRPr="0080450B">
        <w:rPr>
          <w:vertAlign w:val="superscript"/>
        </w:rPr>
        <w:t>-</w:t>
      </w:r>
      <w:r w:rsidRPr="0080450B">
        <w:t xml:space="preserve"> &gt; Cl</w:t>
      </w:r>
      <w:r w:rsidRPr="0080450B">
        <w:rPr>
          <w:vertAlign w:val="superscript"/>
        </w:rPr>
        <w:t xml:space="preserve">- </w:t>
      </w:r>
      <w:r w:rsidRPr="0080450B">
        <w:t>&gt; NO</w:t>
      </w:r>
      <w:r w:rsidRPr="0080450B">
        <w:rPr>
          <w:vertAlign w:val="subscript"/>
        </w:rPr>
        <w:t>3</w:t>
      </w:r>
      <w:r w:rsidRPr="0080450B">
        <w:rPr>
          <w:vertAlign w:val="superscript"/>
        </w:rPr>
        <w:t>-</w:t>
      </w:r>
      <w:r w:rsidRPr="0080450B">
        <w:t xml:space="preserve"> </w:t>
      </w:r>
      <m:oMath>
        <m:r>
          <w:rPr>
            <w:rFonts w:ascii="Cambria Math" w:hAnsi="Cambria Math"/>
          </w:rPr>
          <m:t>≈</m:t>
        </m:r>
      </m:oMath>
      <w:r w:rsidRPr="0080450B">
        <w:t xml:space="preserve"> F</w:t>
      </w:r>
      <w:r w:rsidRPr="0080450B">
        <w:rPr>
          <w:vertAlign w:val="superscript"/>
        </w:rPr>
        <w:t>-</w:t>
      </w:r>
      <w:r w:rsidRPr="0080450B">
        <w:t xml:space="preserve"> for anions </w:t>
      </w:r>
      <w:r w:rsidRPr="0080450B">
        <w:fldChar w:fldCharType="begin"/>
      </w:r>
      <w:r w:rsidRPr="0080450B">
        <w:instrText>ADDIN RW.CITE{{187 Baker,RichardW. 2004}}</w:instrText>
      </w:r>
      <w:r w:rsidRPr="0080450B">
        <w:fldChar w:fldCharType="separate"/>
      </w:r>
      <w:r w:rsidRPr="0080450B">
        <w:t>[4]</w:t>
      </w:r>
      <w:r w:rsidRPr="0080450B">
        <w:fldChar w:fldCharType="end"/>
      </w:r>
      <w:r w:rsidRPr="0080450B">
        <w:t xml:space="preserve">. The permeability of cations and anions calculated as a function of hydration numbers follow the typical trends. For some organics with same homologous group (i.e., alcohols, phenols, acids), the rejections have been correlated by calculating the topological parameters characterizing molecular structure </w:t>
      </w:r>
      <w:r w:rsidRPr="0080450B">
        <w:fldChar w:fldCharType="begin"/>
      </w:r>
      <w:r w:rsidRPr="0080450B">
        <w:instrText>ADDIN RW.CITE{{555 Ksiązczak,Andrzej 1988}}</w:instrText>
      </w:r>
      <w:r w:rsidRPr="0080450B">
        <w:fldChar w:fldCharType="separate"/>
      </w:r>
      <w:r w:rsidRPr="0080450B">
        <w:t>[5]</w:t>
      </w:r>
      <w:r w:rsidRPr="0080450B">
        <w:fldChar w:fldCharType="end"/>
      </w:r>
      <w:r w:rsidRPr="0080450B">
        <w:t xml:space="preserve">. For other neutrals, self-diffusivities relative to water have been used to correlate the permeability. </w:t>
      </w:r>
    </w:p>
    <w:p w14:paraId="5E70FFB3" w14:textId="77777777" w:rsidR="006E2FCF" w:rsidRPr="0080450B" w:rsidRDefault="006E2FCF" w:rsidP="006E2FCF">
      <w:pPr>
        <w:spacing w:before="180" w:line="271" w:lineRule="auto"/>
      </w:pPr>
      <w:r w:rsidRPr="0080450B">
        <w:t xml:space="preserve">Commercial membrane manufacturers provide product specification sheet for each type of membranes. In addition to physical dimensions (i.e., membrane area), the product sheet also reports performance of the membrane (i.e., permeate flux, recovery and rejection percentage for NaCl or other solutes) at specific test conditions. User entered test conditions data are the key information for calculating the permeability coefficients of water and the test solute for the membrane element. These calculated permeability coefficients along with the above-mentioned correlations are used to estimate the permeability coefficients of other species present. The advantage of this method is that a reasonable and preferential order of permeabilities for the membrane regardless of membrane type can be correctly estimated.  </w:t>
      </w:r>
    </w:p>
    <w:p w14:paraId="300E7183" w14:textId="77777777" w:rsidR="006E2FCF" w:rsidRPr="0080450B" w:rsidRDefault="006E2FCF" w:rsidP="006E2FCF">
      <w:pPr>
        <w:spacing w:before="180" w:line="271" w:lineRule="auto"/>
      </w:pPr>
      <w:r w:rsidRPr="0080450B">
        <w:t xml:space="preserve">In the current OLI membrane development, users can enter number of membrane elements per vessel and total number of vessels in the assembly. Alternatively, users can estimate total number of vessels required (or total membrane area) for a specific recovery. Concentration polarization is approximated using Peclet number and intrinsic enrichments </w:t>
      </w:r>
      <w:r w:rsidRPr="0080450B">
        <w:fldChar w:fldCharType="begin"/>
      </w:r>
      <w:r w:rsidRPr="0080450B">
        <w:instrText>ADDIN RW.CITE{{187 Baker,RichardW. 2004}}</w:instrText>
      </w:r>
      <w:r w:rsidRPr="0080450B">
        <w:fldChar w:fldCharType="separate"/>
      </w:r>
      <w:r w:rsidRPr="0080450B">
        <w:t>[4]</w:t>
      </w:r>
      <w:r w:rsidRPr="0080450B">
        <w:fldChar w:fldCharType="end"/>
      </w:r>
      <w:r w:rsidRPr="0080450B">
        <w:t xml:space="preserve">. Flow factor (sometimes referred as fouling factor) is estimated from the water activity reduction unless specified by the users. Users may specify feed side </w:t>
      </w:r>
      <w:r w:rsidRPr="0080450B">
        <w:lastRenderedPageBreak/>
        <w:t xml:space="preserve">pressure drop per element if available. There are options for conditioning the feed to a specific pH by choosing a pH acid titrant or base titrant.   </w:t>
      </w:r>
    </w:p>
    <w:p w14:paraId="35256F41" w14:textId="77777777" w:rsidR="006E2FCF" w:rsidRDefault="006E2FCF" w:rsidP="006E2FCF"/>
    <w:p w14:paraId="7829E115" w14:textId="77777777" w:rsidR="006E2FCF" w:rsidRPr="00AD7119" w:rsidRDefault="006E2FCF" w:rsidP="006E2FCF">
      <w:pPr>
        <w:pStyle w:val="Heading2"/>
      </w:pPr>
      <w:r>
        <w:t>Model Development</w:t>
      </w:r>
    </w:p>
    <w:p w14:paraId="79ACE5FA" w14:textId="77777777" w:rsidR="006E2FCF" w:rsidRDefault="006E2FCF" w:rsidP="006E2FCF">
      <w:pPr>
        <w:spacing w:line="271" w:lineRule="auto"/>
      </w:pPr>
      <w:r>
        <w:t>Water flux in RO membrane is a function of membrane permeability of water, applied pressure and the feed water osmotic pressure. According to solution-diffusion model, water flux can be calculated from the following equation.</w:t>
      </w:r>
    </w:p>
    <w:p w14:paraId="78FF91B1" w14:textId="77777777" w:rsidR="006E2FCF" w:rsidRPr="0080450B" w:rsidRDefault="0036605D" w:rsidP="006E2FCF">
      <w:pPr>
        <w:spacing w:line="271" w:lineRule="auto"/>
      </w:pPr>
      <m:oMath>
        <m:sSub>
          <m:sSubPr>
            <m:ctrlPr>
              <w:rPr>
                <w:rFonts w:ascii="Cambria Math" w:hAnsi="Cambria Math"/>
              </w:rPr>
            </m:ctrlPr>
          </m:sSubPr>
          <m:e>
            <m:r>
              <w:rPr>
                <w:rFonts w:ascii="Cambria Math" w:hAnsi="Cambria Math"/>
              </w:rPr>
              <m:t>J</m:t>
            </m:r>
          </m:e>
          <m:sub>
            <m:r>
              <w:rPr>
                <w:rFonts w:ascii="Cambria Math" w:hAnsi="Cambria Math"/>
              </w:rPr>
              <m:t>w</m:t>
            </m:r>
          </m:sub>
        </m:sSub>
        <m:r>
          <m:rPr>
            <m:sty m:val="p"/>
          </m:rPr>
          <w:rPr>
            <w:rFonts w:ascii="Cambria Math" w:hAnsi="Cambria Math"/>
          </w:rPr>
          <m:t>=</m:t>
        </m:r>
        <m:r>
          <w:rPr>
            <w:rFonts w:ascii="Cambria Math" w:hAnsi="Cambria Math"/>
          </w:rPr>
          <m:t>A</m:t>
        </m:r>
        <m:sSub>
          <m:sSubPr>
            <m:ctrlPr>
              <w:rPr>
                <w:rFonts w:ascii="Cambria Math" w:hAnsi="Cambria Math"/>
              </w:rPr>
            </m:ctrlPr>
          </m:sSubPr>
          <m:e>
            <m:r>
              <w:rPr>
                <w:rFonts w:ascii="Cambria Math" w:hAnsi="Cambria Math"/>
              </w:rPr>
              <m:t>P</m:t>
            </m:r>
          </m:e>
          <m:sub>
            <m:r>
              <w:rPr>
                <w:rFonts w:ascii="Cambria Math" w:hAnsi="Cambria Math"/>
              </w:rPr>
              <m:t>w</m:t>
            </m:r>
          </m:sub>
        </m:sSub>
        <m:r>
          <m:rPr>
            <m:sty m:val="p"/>
          </m:rPr>
          <w:rPr>
            <w:rFonts w:ascii="Cambria Math" w:hAnsi="Cambria Math"/>
          </w:rPr>
          <m:t>(∆</m:t>
        </m:r>
        <m:r>
          <w:rPr>
            <w:rFonts w:ascii="Cambria Math" w:hAnsi="Cambria Math"/>
          </w:rPr>
          <m:t>P</m:t>
        </m:r>
        <m:r>
          <m:rPr>
            <m:sty m:val="p"/>
          </m:rPr>
          <w:rPr>
            <w:rFonts w:ascii="Cambria Math" w:hAnsi="Cambria Math"/>
          </w:rPr>
          <m:t>-∆</m:t>
        </m:r>
        <m:r>
          <w:rPr>
            <w:rFonts w:ascii="Cambria Math" w:hAnsi="Cambria Math"/>
          </w:rPr>
          <m:t>π</m:t>
        </m:r>
        <m:r>
          <m:rPr>
            <m:sty m:val="p"/>
          </m:rPr>
          <w:rPr>
            <w:rFonts w:ascii="Cambria Math" w:hAnsi="Cambria Math"/>
          </w:rPr>
          <m:t>)</m:t>
        </m:r>
      </m:oMath>
      <w:r w:rsidR="006E2FCF">
        <w:rPr>
          <w:rFonts w:eastAsiaTheme="minorEastAsia"/>
        </w:rPr>
        <w:tab/>
        <w:t>; For water</w:t>
      </w:r>
      <w:r w:rsidR="006E2FCF">
        <w:rPr>
          <w:rFonts w:eastAsiaTheme="minorEastAsia"/>
        </w:rPr>
        <w:tab/>
      </w:r>
      <w:r w:rsidR="006E2FCF">
        <w:rPr>
          <w:rFonts w:eastAsiaTheme="minorEastAsia"/>
        </w:rPr>
        <w:tab/>
      </w:r>
      <w:r w:rsidR="006E2FCF">
        <w:rPr>
          <w:rFonts w:eastAsiaTheme="minorEastAsia"/>
        </w:rPr>
        <w:tab/>
      </w:r>
      <w:r w:rsidR="006E2FCF">
        <w:rPr>
          <w:rFonts w:eastAsiaTheme="minorEastAsia"/>
        </w:rPr>
        <w:tab/>
      </w:r>
      <w:r w:rsidR="006E2FCF">
        <w:rPr>
          <w:rFonts w:eastAsiaTheme="minorEastAsia"/>
        </w:rPr>
        <w:tab/>
      </w:r>
      <w:r w:rsidR="006E2FCF">
        <w:rPr>
          <w:rFonts w:eastAsiaTheme="minorEastAsia"/>
        </w:rPr>
        <w:tab/>
      </w:r>
      <w:r w:rsidR="006E2FCF">
        <w:rPr>
          <w:rFonts w:eastAsiaTheme="minorEastAsia"/>
        </w:rPr>
        <w:tab/>
      </w:r>
      <w:r w:rsidR="006E2FCF">
        <w:rPr>
          <w:rFonts w:eastAsiaTheme="minorEastAsia"/>
        </w:rPr>
        <w:tab/>
        <w:t>(1)</w:t>
      </w:r>
    </w:p>
    <w:p w14:paraId="7F852676" w14:textId="77777777" w:rsidR="006E2FCF" w:rsidRDefault="0036605D" w:rsidP="006E2FCF">
      <w:pPr>
        <w:spacing w:line="271" w:lineRule="auto"/>
      </w:pPr>
      <m:oMath>
        <m:sSub>
          <m:sSubPr>
            <m:ctrlPr>
              <w:rPr>
                <w:rFonts w:ascii="Cambria Math" w:hAnsi="Cambria Math"/>
                <w:i/>
              </w:rPr>
            </m:ctrlPr>
          </m:sSubPr>
          <m:e>
            <m:r>
              <w:rPr>
                <w:rFonts w:ascii="Cambria Math" w:hAnsi="Cambria Math"/>
              </w:rPr>
              <m:t>J</m:t>
            </m:r>
          </m:e>
          <m:sub>
            <m:r>
              <w:rPr>
                <w:rFonts w:ascii="Cambria Math" w:hAnsi="Cambria Math"/>
              </w:rPr>
              <m:t>si</m:t>
            </m:r>
          </m:sub>
        </m:sSub>
        <m:r>
          <w:rPr>
            <w:rFonts w:ascii="Cambria Math" w:hAnsi="Cambria Math"/>
          </w:rPr>
          <m:t>=A</m:t>
        </m:r>
        <m:sSub>
          <m:sSubPr>
            <m:ctrlPr>
              <w:rPr>
                <w:rFonts w:ascii="Cambria Math" w:hAnsi="Cambria Math"/>
                <w:i/>
              </w:rPr>
            </m:ctrlPr>
          </m:sSubPr>
          <m:e>
            <m:r>
              <w:rPr>
                <w:rFonts w:ascii="Cambria Math" w:hAnsi="Cambria Math"/>
              </w:rPr>
              <m:t>P</m:t>
            </m:r>
          </m:e>
          <m:sub>
            <m:r>
              <w:rPr>
                <w:rFonts w:ascii="Cambria Math" w:hAnsi="Cambria Math"/>
              </w:rPr>
              <m:t>si</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si</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pi</m:t>
            </m:r>
          </m:sub>
        </m:sSub>
        <m:r>
          <w:rPr>
            <w:rFonts w:ascii="Cambria Math" w:hAnsi="Cambria Math"/>
          </w:rPr>
          <m:t>)</m:t>
        </m:r>
      </m:oMath>
      <w:r w:rsidR="006E2FCF">
        <w:tab/>
        <w:t xml:space="preserve">; For </w:t>
      </w:r>
      <w:r w:rsidR="006E2FCF" w:rsidRPr="0028779C">
        <w:rPr>
          <w:i/>
        </w:rPr>
        <w:t>i</w:t>
      </w:r>
      <w:r w:rsidR="006E2FCF">
        <w:t xml:space="preserve"> = 2, </w:t>
      </w:r>
      <w:r w:rsidR="006E2FCF" w:rsidRPr="0028779C">
        <w:rPr>
          <w:i/>
        </w:rPr>
        <w:t>n</w:t>
      </w:r>
      <w:r w:rsidR="006E2FCF">
        <w:t xml:space="preserve"> (water is not included)</w:t>
      </w:r>
      <w:r w:rsidR="006E2FCF">
        <w:tab/>
      </w:r>
      <w:r w:rsidR="006E2FCF">
        <w:tab/>
      </w:r>
      <w:r w:rsidR="006E2FCF">
        <w:tab/>
      </w:r>
      <w:r w:rsidR="006E2FCF">
        <w:tab/>
      </w:r>
      <w:r w:rsidR="006E2FCF">
        <w:tab/>
        <w:t>(2)</w:t>
      </w:r>
      <w:r w:rsidR="006E2FCF">
        <w:tab/>
      </w:r>
    </w:p>
    <w:p w14:paraId="3221841D" w14:textId="77777777" w:rsidR="006E2FCF" w:rsidRPr="0080450B" w:rsidRDefault="006E2FCF" w:rsidP="006E2FCF">
      <w:pPr>
        <w:spacing w:line="271" w:lineRule="auto"/>
      </w:pPr>
      <w:r>
        <w:t xml:space="preserve">where </w:t>
      </w:r>
      <m:oMath>
        <m:sSub>
          <m:sSubPr>
            <m:ctrlPr>
              <w:rPr>
                <w:rFonts w:ascii="Cambria Math" w:hAnsi="Cambria Math"/>
                <w:i/>
              </w:rPr>
            </m:ctrlPr>
          </m:sSubPr>
          <m:e>
            <m:r>
              <w:rPr>
                <w:rFonts w:ascii="Cambria Math" w:hAnsi="Cambria Math"/>
              </w:rPr>
              <m:t>J</m:t>
            </m:r>
          </m:e>
          <m:sub>
            <m:r>
              <w:rPr>
                <w:rFonts w:ascii="Cambria Math" w:hAnsi="Cambria Math"/>
              </w:rPr>
              <m:t>w</m:t>
            </m:r>
          </m:sub>
        </m:sSub>
      </m:oMath>
      <w:r>
        <w:t xml:space="preserve">, </w:t>
      </w:r>
      <m:oMath>
        <m:sSub>
          <m:sSubPr>
            <m:ctrlPr>
              <w:rPr>
                <w:rFonts w:ascii="Cambria Math" w:hAnsi="Cambria Math"/>
                <w:i/>
              </w:rPr>
            </m:ctrlPr>
          </m:sSubPr>
          <m:e>
            <m:r>
              <w:rPr>
                <w:rFonts w:ascii="Cambria Math" w:hAnsi="Cambria Math"/>
              </w:rPr>
              <m:t>P</m:t>
            </m:r>
          </m:e>
          <m:sub>
            <m:r>
              <w:rPr>
                <w:rFonts w:ascii="Cambria Math" w:hAnsi="Cambria Math"/>
              </w:rPr>
              <m:t>w</m:t>
            </m:r>
          </m:sub>
        </m:sSub>
      </m:oMath>
      <w:r>
        <w:t xml:space="preserve">, </w:t>
      </w:r>
      <m:oMath>
        <m:r>
          <w:rPr>
            <w:rFonts w:ascii="Cambria Math" w:hAnsi="Cambria Math"/>
          </w:rPr>
          <m:t>∆P</m:t>
        </m:r>
      </m:oMath>
      <w:r>
        <w:t>,</w:t>
      </w:r>
      <m:oMath>
        <m:r>
          <w:rPr>
            <w:rFonts w:ascii="Cambria Math" w:hAnsi="Cambria Math"/>
          </w:rPr>
          <m:t xml:space="preserve"> ∆π</m:t>
        </m:r>
      </m:oMath>
      <w:r>
        <w:t xml:space="preserve"> and </w:t>
      </w:r>
      <m:oMath>
        <m:r>
          <w:rPr>
            <w:rFonts w:ascii="Cambria Math" w:hAnsi="Cambria Math"/>
          </w:rPr>
          <m:t>A</m:t>
        </m:r>
      </m:oMath>
      <w:r>
        <w:t xml:space="preserve"> represent water flux through membrane, water permeability, membrane pressure gradient, osmotic pressure gradient and membrane area, respectively. </w:t>
      </w:r>
      <m:oMath>
        <m:sSub>
          <m:sSubPr>
            <m:ctrlPr>
              <w:rPr>
                <w:rFonts w:ascii="Cambria Math" w:hAnsi="Cambria Math"/>
                <w:i/>
              </w:rPr>
            </m:ctrlPr>
          </m:sSubPr>
          <m:e>
            <m:r>
              <w:rPr>
                <w:rFonts w:ascii="Cambria Math" w:hAnsi="Cambria Math"/>
              </w:rPr>
              <m:t>J</m:t>
            </m:r>
          </m:e>
          <m:sub>
            <m:r>
              <w:rPr>
                <w:rFonts w:ascii="Cambria Math" w:hAnsi="Cambria Math"/>
              </w:rPr>
              <m:t>si</m:t>
            </m:r>
          </m:sub>
        </m:sSub>
      </m:oMath>
      <w:r>
        <w:t xml:space="preserve">, </w:t>
      </w:r>
      <m:oMath>
        <m:sSub>
          <m:sSubPr>
            <m:ctrlPr>
              <w:rPr>
                <w:rFonts w:ascii="Cambria Math" w:hAnsi="Cambria Math"/>
                <w:i/>
              </w:rPr>
            </m:ctrlPr>
          </m:sSubPr>
          <m:e>
            <m:r>
              <w:rPr>
                <w:rFonts w:ascii="Cambria Math" w:hAnsi="Cambria Math"/>
              </w:rPr>
              <m:t>P</m:t>
            </m:r>
          </m:e>
          <m:sub>
            <m:r>
              <w:rPr>
                <w:rFonts w:ascii="Cambria Math" w:hAnsi="Cambria Math"/>
              </w:rPr>
              <m:t>si</m:t>
            </m:r>
          </m:sub>
        </m:sSub>
      </m:oMath>
      <w:r>
        <w:t xml:space="preserve">, </w:t>
      </w:r>
      <m:oMath>
        <m:sSub>
          <m:sSubPr>
            <m:ctrlPr>
              <w:rPr>
                <w:rFonts w:ascii="Cambria Math" w:hAnsi="Cambria Math"/>
                <w:i/>
              </w:rPr>
            </m:ctrlPr>
          </m:sSubPr>
          <m:e>
            <m:r>
              <w:rPr>
                <w:rFonts w:ascii="Cambria Math" w:hAnsi="Cambria Math"/>
              </w:rPr>
              <m:t>C</m:t>
            </m:r>
          </m:e>
          <m:sub>
            <m:r>
              <w:rPr>
                <w:rFonts w:ascii="Cambria Math" w:hAnsi="Cambria Math"/>
              </w:rPr>
              <m:t>si</m:t>
            </m:r>
          </m:sub>
        </m:sSub>
      </m:oMath>
      <w:r>
        <w:t xml:space="preserve"> and </w:t>
      </w:r>
      <m:oMath>
        <m:sSub>
          <m:sSubPr>
            <m:ctrlPr>
              <w:rPr>
                <w:rFonts w:ascii="Cambria Math" w:hAnsi="Cambria Math"/>
                <w:i/>
              </w:rPr>
            </m:ctrlPr>
          </m:sSubPr>
          <m:e>
            <m:r>
              <w:rPr>
                <w:rFonts w:ascii="Cambria Math" w:hAnsi="Cambria Math"/>
              </w:rPr>
              <m:t>C</m:t>
            </m:r>
          </m:e>
          <m:sub>
            <m:r>
              <w:rPr>
                <w:rFonts w:ascii="Cambria Math" w:hAnsi="Cambria Math"/>
              </w:rPr>
              <m:t>pi</m:t>
            </m:r>
          </m:sub>
        </m:sSub>
      </m:oMath>
      <w:r>
        <w:t xml:space="preserve"> represent species i flux through membrane, permeability, concentration at the membrane surface and concentration at the permeate side, respectively.  It is to be noted that </w:t>
      </w:r>
      <w:r w:rsidRPr="00DE22F3">
        <w:rPr>
          <w:i/>
        </w:rPr>
        <w:t>n</w:t>
      </w:r>
      <w:r>
        <w:t xml:space="preserve"> represents total number of aqueous and ionic species in the system.</w:t>
      </w:r>
    </w:p>
    <w:p w14:paraId="4AD62121" w14:textId="77777777" w:rsidR="006E2FCF" w:rsidRPr="0080450B" w:rsidRDefault="006E2FCF" w:rsidP="006E2FCF">
      <w:pPr>
        <w:spacing w:line="271" w:lineRule="auto"/>
      </w:pPr>
      <m:oMath>
        <m:r>
          <m:rPr>
            <m:sty m:val="p"/>
          </m:rPr>
          <w:rPr>
            <w:rFonts w:ascii="Cambria Math" w:hAnsi="Cambria Math"/>
          </w:rPr>
          <m:t>∆</m:t>
        </m:r>
        <m:r>
          <w:rPr>
            <w:rFonts w:ascii="Cambria Math" w:hAnsi="Cambria Math"/>
          </w:rPr>
          <m:t>P</m:t>
        </m:r>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f</m:t>
            </m:r>
          </m:sub>
        </m:sSub>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pd</m:t>
            </m:r>
          </m:sub>
        </m:sSub>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p</m:t>
            </m:r>
          </m:sub>
        </m:sSub>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(3)</w:t>
      </w:r>
    </w:p>
    <w:p w14:paraId="13C1CB9A" w14:textId="77777777" w:rsidR="006E2FCF" w:rsidRPr="0080450B" w:rsidRDefault="006E2FCF" w:rsidP="006E2FCF">
      <w:pPr>
        <w:spacing w:line="271" w:lineRule="auto"/>
      </w:pPr>
      <w:r>
        <w:t xml:space="preserve">where </w:t>
      </w:r>
      <m:oMath>
        <m:sSub>
          <m:sSubPr>
            <m:ctrlPr>
              <w:rPr>
                <w:rFonts w:ascii="Cambria Math" w:hAnsi="Cambria Math"/>
                <w:i/>
              </w:rPr>
            </m:ctrlPr>
          </m:sSubPr>
          <m:e>
            <m:r>
              <w:rPr>
                <w:rFonts w:ascii="Cambria Math" w:hAnsi="Cambria Math"/>
              </w:rPr>
              <m:t>P</m:t>
            </m:r>
          </m:e>
          <m:sub>
            <m:r>
              <w:rPr>
                <w:rFonts w:ascii="Cambria Math" w:hAnsi="Cambria Math"/>
              </w:rPr>
              <m:t>f</m:t>
            </m:r>
          </m:sub>
        </m:sSub>
      </m:oMath>
      <w:r>
        <w:t xml:space="preserve">, </w:t>
      </w:r>
      <m:oMath>
        <m:sSub>
          <m:sSubPr>
            <m:ctrlPr>
              <w:rPr>
                <w:rFonts w:ascii="Cambria Math" w:hAnsi="Cambria Math"/>
                <w:i/>
              </w:rPr>
            </m:ctrlPr>
          </m:sSubPr>
          <m:e>
            <m:r>
              <w:rPr>
                <w:rFonts w:ascii="Cambria Math" w:hAnsi="Cambria Math"/>
              </w:rPr>
              <m:t>P</m:t>
            </m:r>
          </m:e>
          <m:sub>
            <m:r>
              <w:rPr>
                <w:rFonts w:ascii="Cambria Math" w:hAnsi="Cambria Math"/>
              </w:rPr>
              <m:t>pd</m:t>
            </m:r>
          </m:sub>
        </m:sSub>
      </m:oMath>
      <w:r>
        <w:t xml:space="preserve"> and </w:t>
      </w:r>
      <m:oMath>
        <m:sSub>
          <m:sSubPr>
            <m:ctrlPr>
              <w:rPr>
                <w:rFonts w:ascii="Cambria Math" w:hAnsi="Cambria Math"/>
                <w:i/>
              </w:rPr>
            </m:ctrlPr>
          </m:sSubPr>
          <m:e>
            <m:r>
              <w:rPr>
                <w:rFonts w:ascii="Cambria Math" w:hAnsi="Cambria Math"/>
              </w:rPr>
              <m:t>P</m:t>
            </m:r>
          </m:e>
          <m:sub>
            <m:r>
              <w:rPr>
                <w:rFonts w:ascii="Cambria Math" w:hAnsi="Cambria Math"/>
              </w:rPr>
              <m:t>p</m:t>
            </m:r>
          </m:sub>
        </m:sSub>
      </m:oMath>
      <w:r>
        <w:t xml:space="preserve"> represent feed side pressure, pressure drop at the concentrate (residue) side and permeate pressure, respectively. </w:t>
      </w:r>
    </w:p>
    <w:p w14:paraId="0CAC99E8" w14:textId="77777777" w:rsidR="006E2FCF" w:rsidRPr="0080450B" w:rsidRDefault="0036605D" w:rsidP="006E2FCF">
      <w:pPr>
        <w:spacing w:line="271" w:lineRule="auto"/>
      </w:pPr>
      <m:oMath>
        <m:sSub>
          <m:sSubPr>
            <m:ctrlPr>
              <w:rPr>
                <w:rFonts w:ascii="Cambria Math" w:hAnsi="Cambria Math"/>
              </w:rPr>
            </m:ctrlPr>
          </m:sSubPr>
          <m:e>
            <m:r>
              <w:rPr>
                <w:rFonts w:ascii="Cambria Math" w:hAnsi="Cambria Math"/>
              </w:rPr>
              <m:t>P</m:t>
            </m:r>
          </m:e>
          <m:sub>
            <m:r>
              <w:rPr>
                <w:rFonts w:ascii="Cambria Math" w:hAnsi="Cambria Math"/>
              </w:rPr>
              <m:t>pd</m:t>
            </m:r>
          </m:sub>
        </m:sSub>
        <m:r>
          <m:rPr>
            <m:sty m:val="p"/>
          </m:rPr>
          <w:rPr>
            <w:rFonts w:ascii="Cambria Math" w:hAnsi="Cambria Math"/>
          </w:rPr>
          <m:t>=0.005</m:t>
        </m:r>
        <m:sSubSup>
          <m:sSubSupPr>
            <m:ctrlPr>
              <w:rPr>
                <w:rFonts w:ascii="Cambria Math" w:hAnsi="Cambria Math"/>
              </w:rPr>
            </m:ctrlPr>
          </m:sSubSupPr>
          <m:e>
            <m:r>
              <w:rPr>
                <w:rFonts w:ascii="Cambria Math" w:hAnsi="Cambria Math"/>
              </w:rPr>
              <m:t>Q</m:t>
            </m:r>
          </m:e>
          <m:sub>
            <m:r>
              <w:rPr>
                <w:rFonts w:ascii="Cambria Math" w:hAnsi="Cambria Math"/>
              </w:rPr>
              <m:t>avg</m:t>
            </m:r>
          </m:sub>
          <m:sup>
            <m:r>
              <m:rPr>
                <m:sty m:val="p"/>
              </m:rPr>
              <w:rPr>
                <w:rFonts w:ascii="Cambria Math" w:hAnsi="Cambria Math"/>
              </w:rPr>
              <m:t>1.7</m:t>
            </m:r>
          </m:sup>
        </m:sSubSup>
      </m:oMath>
      <w:r w:rsidR="006E2FCF">
        <w:rPr>
          <w:rFonts w:eastAsiaTheme="minorEastAsia"/>
        </w:rPr>
        <w:tab/>
      </w:r>
      <w:r w:rsidR="006E2FCF">
        <w:rPr>
          <w:rFonts w:eastAsiaTheme="minorEastAsia"/>
        </w:rPr>
        <w:tab/>
      </w:r>
      <w:r w:rsidR="006E2FCF">
        <w:rPr>
          <w:rFonts w:eastAsiaTheme="minorEastAsia"/>
        </w:rPr>
        <w:tab/>
      </w:r>
      <w:r w:rsidR="006E2FCF">
        <w:rPr>
          <w:rFonts w:eastAsiaTheme="minorEastAsia"/>
        </w:rPr>
        <w:tab/>
      </w:r>
      <w:r w:rsidR="006E2FCF">
        <w:rPr>
          <w:rFonts w:eastAsiaTheme="minorEastAsia"/>
        </w:rPr>
        <w:tab/>
      </w:r>
      <w:r w:rsidR="006E2FCF">
        <w:rPr>
          <w:rFonts w:eastAsiaTheme="minorEastAsia"/>
        </w:rPr>
        <w:tab/>
      </w:r>
      <w:r w:rsidR="006E2FCF">
        <w:rPr>
          <w:rFonts w:eastAsiaTheme="minorEastAsia"/>
        </w:rPr>
        <w:tab/>
      </w:r>
      <w:r w:rsidR="006E2FCF">
        <w:rPr>
          <w:rFonts w:eastAsiaTheme="minorEastAsia"/>
        </w:rPr>
        <w:tab/>
      </w:r>
      <w:r w:rsidR="006E2FCF">
        <w:rPr>
          <w:rFonts w:eastAsiaTheme="minorEastAsia"/>
        </w:rPr>
        <w:tab/>
      </w:r>
      <w:r w:rsidR="006E2FCF">
        <w:rPr>
          <w:rFonts w:eastAsiaTheme="minorEastAsia"/>
        </w:rPr>
        <w:tab/>
        <w:t>(4)</w:t>
      </w:r>
    </w:p>
    <w:p w14:paraId="54990D48" w14:textId="77777777" w:rsidR="006E2FCF" w:rsidRPr="0080450B" w:rsidRDefault="0036605D" w:rsidP="006E2FCF">
      <w:pPr>
        <w:spacing w:line="271" w:lineRule="auto"/>
      </w:pPr>
      <m:oMath>
        <m:sSub>
          <m:sSubPr>
            <m:ctrlPr>
              <w:rPr>
                <w:rFonts w:ascii="Cambria Math" w:hAnsi="Cambria Math"/>
              </w:rPr>
            </m:ctrlPr>
          </m:sSubPr>
          <m:e>
            <m:r>
              <w:rPr>
                <w:rFonts w:ascii="Cambria Math" w:hAnsi="Cambria Math"/>
              </w:rPr>
              <m:t>Q</m:t>
            </m:r>
          </m:e>
          <m:sub>
            <m:r>
              <w:rPr>
                <w:rFonts w:ascii="Cambria Math" w:hAnsi="Cambria Math"/>
              </w:rPr>
              <m:t>avg</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Q</m:t>
                </m:r>
              </m:e>
              <m:sub>
                <m:r>
                  <w:rPr>
                    <w:rFonts w:ascii="Cambria Math" w:hAnsi="Cambria Math"/>
                  </w:rPr>
                  <m:t>f</m:t>
                </m:r>
              </m:sub>
            </m:sSub>
            <m:r>
              <m:rPr>
                <m:sty m:val="p"/>
              </m:rPr>
              <w:rPr>
                <w:rFonts w:ascii="Cambria Math" w:hAnsi="Cambria Math"/>
              </w:rPr>
              <m:t>+</m:t>
            </m:r>
            <m:sSub>
              <m:sSubPr>
                <m:ctrlPr>
                  <w:rPr>
                    <w:rFonts w:ascii="Cambria Math" w:hAnsi="Cambria Math"/>
                  </w:rPr>
                </m:ctrlPr>
              </m:sSubPr>
              <m:e>
                <m:r>
                  <w:rPr>
                    <w:rFonts w:ascii="Cambria Math" w:hAnsi="Cambria Math"/>
                  </w:rPr>
                  <m:t>Q</m:t>
                </m:r>
              </m:e>
              <m:sub>
                <m:r>
                  <w:rPr>
                    <w:rFonts w:ascii="Cambria Math" w:hAnsi="Cambria Math"/>
                  </w:rPr>
                  <m:t>c</m:t>
                </m:r>
              </m:sub>
            </m:sSub>
          </m:num>
          <m:den>
            <m:r>
              <m:rPr>
                <m:sty m:val="p"/>
              </m:rPr>
              <w:rPr>
                <w:rFonts w:ascii="Cambria Math" w:hAnsi="Cambria Math"/>
              </w:rPr>
              <m:t>2</m:t>
            </m:r>
          </m:den>
        </m:f>
      </m:oMath>
      <w:r w:rsidR="006E2FCF">
        <w:rPr>
          <w:rFonts w:eastAsiaTheme="minorEastAsia"/>
        </w:rPr>
        <w:tab/>
      </w:r>
      <w:r w:rsidR="006E2FCF">
        <w:rPr>
          <w:rFonts w:eastAsiaTheme="minorEastAsia"/>
        </w:rPr>
        <w:tab/>
      </w:r>
      <w:r w:rsidR="006E2FCF">
        <w:rPr>
          <w:rFonts w:eastAsiaTheme="minorEastAsia"/>
        </w:rPr>
        <w:tab/>
      </w:r>
      <w:r w:rsidR="006E2FCF">
        <w:rPr>
          <w:rFonts w:eastAsiaTheme="minorEastAsia"/>
        </w:rPr>
        <w:tab/>
      </w:r>
      <w:r w:rsidR="006E2FCF">
        <w:rPr>
          <w:rFonts w:eastAsiaTheme="minorEastAsia"/>
        </w:rPr>
        <w:tab/>
      </w:r>
      <w:r w:rsidR="006E2FCF">
        <w:rPr>
          <w:rFonts w:eastAsiaTheme="minorEastAsia"/>
        </w:rPr>
        <w:tab/>
      </w:r>
      <w:r w:rsidR="006E2FCF">
        <w:rPr>
          <w:rFonts w:eastAsiaTheme="minorEastAsia"/>
        </w:rPr>
        <w:tab/>
      </w:r>
      <w:r w:rsidR="006E2FCF">
        <w:rPr>
          <w:rFonts w:eastAsiaTheme="minorEastAsia"/>
        </w:rPr>
        <w:tab/>
      </w:r>
      <w:r w:rsidR="006E2FCF">
        <w:rPr>
          <w:rFonts w:eastAsiaTheme="minorEastAsia"/>
        </w:rPr>
        <w:tab/>
      </w:r>
      <w:r w:rsidR="006E2FCF">
        <w:rPr>
          <w:rFonts w:eastAsiaTheme="minorEastAsia"/>
        </w:rPr>
        <w:tab/>
      </w:r>
      <w:r w:rsidR="006E2FCF">
        <w:rPr>
          <w:rFonts w:eastAsiaTheme="minorEastAsia"/>
        </w:rPr>
        <w:tab/>
        <w:t>(5)</w:t>
      </w:r>
    </w:p>
    <w:p w14:paraId="0E9F5F3F" w14:textId="77777777" w:rsidR="006E2FCF" w:rsidRDefault="006E2FCF" w:rsidP="006E2FCF">
      <w:pPr>
        <w:spacing w:line="271" w:lineRule="auto"/>
      </w:pPr>
      <w:r>
        <w:t xml:space="preserve">where </w:t>
      </w:r>
      <m:oMath>
        <m:sSub>
          <m:sSubPr>
            <m:ctrlPr>
              <w:rPr>
                <w:rFonts w:ascii="Cambria Math" w:hAnsi="Cambria Math"/>
                <w:i/>
              </w:rPr>
            </m:ctrlPr>
          </m:sSubPr>
          <m:e>
            <m:r>
              <w:rPr>
                <w:rFonts w:ascii="Cambria Math" w:hAnsi="Cambria Math"/>
              </w:rPr>
              <m:t>Q</m:t>
            </m:r>
          </m:e>
          <m:sub>
            <m:r>
              <w:rPr>
                <w:rFonts w:ascii="Cambria Math" w:hAnsi="Cambria Math"/>
              </w:rPr>
              <m:t>f</m:t>
            </m:r>
          </m:sub>
        </m:sSub>
      </m:oMath>
      <w:r>
        <w:t xml:space="preserve">, </w:t>
      </w:r>
      <m:oMath>
        <m:sSub>
          <m:sSubPr>
            <m:ctrlPr>
              <w:rPr>
                <w:rFonts w:ascii="Cambria Math" w:hAnsi="Cambria Math"/>
                <w:i/>
              </w:rPr>
            </m:ctrlPr>
          </m:sSubPr>
          <m:e>
            <m:r>
              <w:rPr>
                <w:rFonts w:ascii="Cambria Math" w:hAnsi="Cambria Math"/>
              </w:rPr>
              <m:t>Q</m:t>
            </m:r>
          </m:e>
          <m:sub>
            <m:r>
              <w:rPr>
                <w:rFonts w:ascii="Cambria Math" w:hAnsi="Cambria Math"/>
              </w:rPr>
              <m:t>c</m:t>
            </m:r>
          </m:sub>
        </m:sSub>
      </m:oMath>
      <w:r>
        <w:t xml:space="preserve"> and </w:t>
      </w:r>
      <m:oMath>
        <m:sSub>
          <m:sSubPr>
            <m:ctrlPr>
              <w:rPr>
                <w:rFonts w:ascii="Cambria Math" w:hAnsi="Cambria Math"/>
                <w:i/>
              </w:rPr>
            </m:ctrlPr>
          </m:sSubPr>
          <m:e>
            <m:r>
              <w:rPr>
                <w:rFonts w:ascii="Cambria Math" w:hAnsi="Cambria Math"/>
              </w:rPr>
              <m:t>Q</m:t>
            </m:r>
          </m:e>
          <m:sub>
            <m:r>
              <w:rPr>
                <w:rFonts w:ascii="Cambria Math" w:hAnsi="Cambria Math"/>
              </w:rPr>
              <m:t>avg</m:t>
            </m:r>
          </m:sub>
        </m:sSub>
      </m:oMath>
      <w:r>
        <w:t xml:space="preserve"> represent feed, concentrate and average concentrate (residue) side flow rate, respectively.</w:t>
      </w:r>
    </w:p>
    <w:p w14:paraId="1315B06F" w14:textId="77777777" w:rsidR="006E2FCF" w:rsidRDefault="006E2FCF" w:rsidP="006E2FCF">
      <w:pPr>
        <w:spacing w:line="271" w:lineRule="auto"/>
        <w:rPr>
          <w:rFonts w:eastAsiaTheme="minorEastAsia"/>
        </w:rPr>
      </w:pPr>
      <m:oMath>
        <m:r>
          <m:rPr>
            <m:sty m:val="p"/>
          </m:rPr>
          <w:rPr>
            <w:rFonts w:ascii="Cambria Math" w:hAnsi="Cambria Math"/>
          </w:rPr>
          <m:t>∆</m:t>
        </m:r>
        <m:r>
          <w:rPr>
            <w:rFonts w:ascii="Cambria Math" w:hAnsi="Cambria Math"/>
          </w:rPr>
          <m:t>π</m:t>
        </m:r>
        <m:r>
          <m:rPr>
            <m:sty m:val="p"/>
          </m:rPr>
          <w:rPr>
            <w:rFonts w:ascii="Cambria Math" w:hAnsi="Cambria Math"/>
          </w:rPr>
          <m:t xml:space="preserve">= </m:t>
        </m:r>
        <m:sSub>
          <m:sSubPr>
            <m:ctrlPr>
              <w:rPr>
                <w:rFonts w:ascii="Cambria Math" w:hAnsi="Cambria Math"/>
              </w:rPr>
            </m:ctrlPr>
          </m:sSubPr>
          <m:e>
            <m:r>
              <w:rPr>
                <w:rFonts w:ascii="Cambria Math" w:hAnsi="Cambria Math"/>
              </w:rPr>
              <m:t>π</m:t>
            </m:r>
          </m:e>
          <m:sub>
            <m:r>
              <w:rPr>
                <w:rFonts w:ascii="Cambria Math" w:hAnsi="Cambria Math"/>
              </w:rPr>
              <m:t>avg</m:t>
            </m:r>
          </m:sub>
        </m:sSub>
        <m:r>
          <m:rPr>
            <m:sty m:val="p"/>
          </m:rPr>
          <w:rPr>
            <w:rFonts w:ascii="Cambria Math" w:hAnsi="Cambria Math"/>
          </w:rPr>
          <m:t>-</m:t>
        </m:r>
        <m:sSub>
          <m:sSubPr>
            <m:ctrlPr>
              <w:rPr>
                <w:rFonts w:ascii="Cambria Math" w:hAnsi="Cambria Math"/>
              </w:rPr>
            </m:ctrlPr>
          </m:sSubPr>
          <m:e>
            <m:r>
              <w:rPr>
                <w:rFonts w:ascii="Cambria Math" w:hAnsi="Cambria Math"/>
              </w:rPr>
              <m:t>π</m:t>
            </m:r>
          </m:e>
          <m:sub>
            <m:r>
              <w:rPr>
                <w:rFonts w:ascii="Cambria Math" w:hAnsi="Cambria Math"/>
              </w:rPr>
              <m:t>p</m:t>
            </m:r>
          </m:sub>
        </m:sSub>
        <m:r>
          <m:rPr>
            <m:sty m:val="p"/>
          </m:rPr>
          <w:rPr>
            <w:rFonts w:ascii="Cambria Math" w:hAnsi="Cambria Math"/>
          </w:rPr>
          <m:t xml:space="preserve"> </m:t>
        </m:r>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(6)</w:t>
      </w:r>
    </w:p>
    <w:p w14:paraId="421E3CCF" w14:textId="77777777" w:rsidR="006E2FCF" w:rsidRPr="0080450B" w:rsidRDefault="0036605D" w:rsidP="006E2FCF">
      <w:pPr>
        <w:spacing w:line="271" w:lineRule="auto"/>
      </w:pPr>
      <m:oMath>
        <m:sSub>
          <m:sSubPr>
            <m:ctrlPr>
              <w:rPr>
                <w:rFonts w:ascii="Cambria Math" w:hAnsi="Cambria Math"/>
              </w:rPr>
            </m:ctrlPr>
          </m:sSubPr>
          <m:e>
            <m:r>
              <w:rPr>
                <w:rFonts w:ascii="Cambria Math" w:hAnsi="Cambria Math"/>
              </w:rPr>
              <m:t>π</m:t>
            </m:r>
          </m:e>
          <m:sub>
            <m:r>
              <w:rPr>
                <w:rFonts w:ascii="Cambria Math" w:hAnsi="Cambria Math"/>
              </w:rPr>
              <m:t>avg</m:t>
            </m:r>
          </m:sub>
        </m:sSub>
        <m:r>
          <m:rPr>
            <m:sty m:val="p"/>
          </m:rPr>
          <w:rPr>
            <w:rFonts w:ascii="Cambria Math" w:hAnsi="Cambria Math"/>
          </w:rPr>
          <m:t xml:space="preserve">= </m:t>
        </m:r>
        <m:f>
          <m:fPr>
            <m:ctrlPr>
              <w:rPr>
                <w:rFonts w:ascii="Cambria Math" w:hAnsi="Cambria Math"/>
              </w:rPr>
            </m:ctrlPr>
          </m:fPr>
          <m:num>
            <m:sSub>
              <m:sSubPr>
                <m:ctrlPr>
                  <w:rPr>
                    <w:rFonts w:ascii="Cambria Math" w:hAnsi="Cambria Math"/>
                  </w:rPr>
                </m:ctrlPr>
              </m:sSubPr>
              <m:e>
                <m:r>
                  <w:rPr>
                    <w:rFonts w:ascii="Cambria Math" w:hAnsi="Cambria Math"/>
                  </w:rPr>
                  <m:t>π</m:t>
                </m:r>
              </m:e>
              <m:sub>
                <m:r>
                  <w:rPr>
                    <w:rFonts w:ascii="Cambria Math" w:hAnsi="Cambria Math"/>
                  </w:rPr>
                  <m:t>f</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π</m:t>
                </m:r>
              </m:e>
              <m:sub>
                <m:r>
                  <w:rPr>
                    <w:rFonts w:ascii="Cambria Math" w:hAnsi="Cambria Math"/>
                  </w:rPr>
                  <m:t>c</m:t>
                </m:r>
              </m:sub>
            </m:sSub>
          </m:num>
          <m:den>
            <m:r>
              <m:rPr>
                <m:sty m:val="p"/>
              </m:rPr>
              <w:rPr>
                <w:rFonts w:ascii="Cambria Math" w:hAnsi="Cambria Math"/>
              </w:rPr>
              <m:t>2</m:t>
            </m:r>
          </m:den>
        </m:f>
      </m:oMath>
      <w:r w:rsidR="006E2FCF">
        <w:rPr>
          <w:rFonts w:eastAsiaTheme="minorEastAsia"/>
        </w:rPr>
        <w:t xml:space="preserve"> </w:t>
      </w:r>
      <w:r w:rsidR="006E2FCF">
        <w:rPr>
          <w:rFonts w:eastAsiaTheme="minorEastAsia"/>
        </w:rPr>
        <w:tab/>
      </w:r>
      <w:r w:rsidR="006E2FCF">
        <w:rPr>
          <w:rFonts w:eastAsiaTheme="minorEastAsia"/>
        </w:rPr>
        <w:tab/>
      </w:r>
      <w:r w:rsidR="006E2FCF">
        <w:rPr>
          <w:rFonts w:eastAsiaTheme="minorEastAsia"/>
        </w:rPr>
        <w:tab/>
      </w:r>
      <w:r w:rsidR="006E2FCF">
        <w:rPr>
          <w:rFonts w:eastAsiaTheme="minorEastAsia"/>
        </w:rPr>
        <w:tab/>
      </w:r>
      <w:r w:rsidR="006E2FCF">
        <w:rPr>
          <w:rFonts w:eastAsiaTheme="minorEastAsia"/>
        </w:rPr>
        <w:tab/>
      </w:r>
      <w:r w:rsidR="006E2FCF">
        <w:rPr>
          <w:rFonts w:eastAsiaTheme="minorEastAsia"/>
        </w:rPr>
        <w:tab/>
      </w:r>
      <w:r w:rsidR="006E2FCF">
        <w:rPr>
          <w:rFonts w:eastAsiaTheme="minorEastAsia"/>
        </w:rPr>
        <w:tab/>
      </w:r>
      <w:r w:rsidR="006E2FCF">
        <w:rPr>
          <w:rFonts w:eastAsiaTheme="minorEastAsia"/>
        </w:rPr>
        <w:tab/>
      </w:r>
      <w:r w:rsidR="006E2FCF">
        <w:rPr>
          <w:rFonts w:eastAsiaTheme="minorEastAsia"/>
        </w:rPr>
        <w:tab/>
      </w:r>
      <w:r w:rsidR="006E2FCF">
        <w:rPr>
          <w:rFonts w:eastAsiaTheme="minorEastAsia"/>
        </w:rPr>
        <w:tab/>
      </w:r>
      <w:r w:rsidR="006E2FCF">
        <w:rPr>
          <w:rFonts w:eastAsiaTheme="minorEastAsia"/>
        </w:rPr>
        <w:tab/>
        <w:t>(7)</w:t>
      </w:r>
    </w:p>
    <w:p w14:paraId="1D0FAAAB" w14:textId="77777777" w:rsidR="006E2FCF" w:rsidRDefault="006E2FCF" w:rsidP="006E2FCF">
      <w:pPr>
        <w:spacing w:line="271" w:lineRule="auto"/>
      </w:pPr>
      <w:r>
        <w:t xml:space="preserve">where </w:t>
      </w:r>
      <m:oMath>
        <m:sSub>
          <m:sSubPr>
            <m:ctrlPr>
              <w:rPr>
                <w:rFonts w:ascii="Cambria Math" w:hAnsi="Cambria Math"/>
                <w:i/>
              </w:rPr>
            </m:ctrlPr>
          </m:sSubPr>
          <m:e>
            <m:r>
              <w:rPr>
                <w:rFonts w:ascii="Cambria Math" w:hAnsi="Cambria Math"/>
              </w:rPr>
              <m:t>π</m:t>
            </m:r>
          </m:e>
          <m:sub>
            <m:r>
              <w:rPr>
                <w:rFonts w:ascii="Cambria Math" w:hAnsi="Cambria Math"/>
              </w:rPr>
              <m:t>f</m:t>
            </m:r>
          </m:sub>
        </m:sSub>
      </m:oMath>
      <w:r>
        <w:t xml:space="preserve">, </w:t>
      </w:r>
      <m:oMath>
        <m:sSub>
          <m:sSubPr>
            <m:ctrlPr>
              <w:rPr>
                <w:rFonts w:ascii="Cambria Math" w:hAnsi="Cambria Math"/>
                <w:i/>
              </w:rPr>
            </m:ctrlPr>
          </m:sSubPr>
          <m:e>
            <m:r>
              <w:rPr>
                <w:rFonts w:ascii="Cambria Math" w:hAnsi="Cambria Math"/>
              </w:rPr>
              <m:t>π</m:t>
            </m:r>
          </m:e>
          <m:sub>
            <m:r>
              <w:rPr>
                <w:rFonts w:ascii="Cambria Math" w:hAnsi="Cambria Math"/>
              </w:rPr>
              <m:t>p</m:t>
            </m:r>
          </m:sub>
        </m:sSub>
      </m:oMath>
      <w:r>
        <w:t xml:space="preserve">, </w:t>
      </w:r>
      <m:oMath>
        <m:sSub>
          <m:sSubPr>
            <m:ctrlPr>
              <w:rPr>
                <w:rFonts w:ascii="Cambria Math" w:hAnsi="Cambria Math"/>
                <w:i/>
              </w:rPr>
            </m:ctrlPr>
          </m:sSubPr>
          <m:e>
            <m:r>
              <w:rPr>
                <w:rFonts w:ascii="Cambria Math" w:hAnsi="Cambria Math"/>
              </w:rPr>
              <m:t>π</m:t>
            </m:r>
          </m:e>
          <m:sub>
            <m:r>
              <w:rPr>
                <w:rFonts w:ascii="Cambria Math" w:hAnsi="Cambria Math"/>
              </w:rPr>
              <m:t>c</m:t>
            </m:r>
          </m:sub>
        </m:sSub>
      </m:oMath>
      <w:r>
        <w:t xml:space="preserve"> and </w:t>
      </w:r>
      <m:oMath>
        <m:sSub>
          <m:sSubPr>
            <m:ctrlPr>
              <w:rPr>
                <w:rFonts w:ascii="Cambria Math" w:hAnsi="Cambria Math"/>
                <w:i/>
              </w:rPr>
            </m:ctrlPr>
          </m:sSubPr>
          <m:e>
            <m:r>
              <w:rPr>
                <w:rFonts w:ascii="Cambria Math" w:hAnsi="Cambria Math"/>
              </w:rPr>
              <m:t>π</m:t>
            </m:r>
          </m:e>
          <m:sub>
            <m:r>
              <w:rPr>
                <w:rFonts w:ascii="Cambria Math" w:hAnsi="Cambria Math"/>
              </w:rPr>
              <m:t>avg</m:t>
            </m:r>
          </m:sub>
        </m:sSub>
      </m:oMath>
      <w:r>
        <w:t xml:space="preserve"> represent feed side osmotic pressure, permeate side osmotic pressure, concentrate (residue) side osmotic pressure and average concentrate (residue) side osmotic pressure, respectively. </w:t>
      </w:r>
    </w:p>
    <w:p w14:paraId="7D1310F3" w14:textId="77777777" w:rsidR="006E2FCF" w:rsidRDefault="006E2FCF" w:rsidP="006E2FCF">
      <w:pPr>
        <w:spacing w:line="271" w:lineRule="auto"/>
      </w:pPr>
      <w:r>
        <w:t>T</w:t>
      </w:r>
      <w:r w:rsidRPr="009D371E">
        <w:t>he salt concentration adjacent to the membrane surface is higher</w:t>
      </w:r>
      <w:r>
        <w:t xml:space="preserve"> </w:t>
      </w:r>
      <w:r w:rsidRPr="009D371E">
        <w:t xml:space="preserve">than </w:t>
      </w:r>
      <w:r>
        <w:t xml:space="preserve">the bulk solution concentration </w:t>
      </w:r>
      <w:r w:rsidRPr="009D371E">
        <w:t>be</w:t>
      </w:r>
      <w:r>
        <w:t xml:space="preserve">cause reverse osmosis membranes </w:t>
      </w:r>
      <w:r w:rsidRPr="009D371E">
        <w:t xml:space="preserve">preferentially permeate water and </w:t>
      </w:r>
      <w:r>
        <w:t xml:space="preserve">retain salt. Water and salt are </w:t>
      </w:r>
      <w:r w:rsidRPr="009D371E">
        <w:t>brought toward</w:t>
      </w:r>
      <w:r>
        <w:t xml:space="preserve"> </w:t>
      </w:r>
      <w:r w:rsidRPr="009D371E">
        <w:t>the membrane surface by the flow o</w:t>
      </w:r>
      <w:r>
        <w:t xml:space="preserve">f solution through the membrane. Water and a little </w:t>
      </w:r>
      <w:r w:rsidRPr="009D371E">
        <w:t xml:space="preserve">salt permeate the membrane, but </w:t>
      </w:r>
      <w:r>
        <w:t xml:space="preserve">most of the salt is rejected by </w:t>
      </w:r>
      <w:r w:rsidRPr="009D371E">
        <w:t>the membrane and retained at the membrane s</w:t>
      </w:r>
      <w:r>
        <w:t xml:space="preserve">urface. Salt accumulates at the </w:t>
      </w:r>
      <w:r w:rsidRPr="009D371E">
        <w:t xml:space="preserve">membrane surface until a sufficient gradient </w:t>
      </w:r>
      <w:r>
        <w:t xml:space="preserve">has formed to allow the salt to </w:t>
      </w:r>
      <w:r w:rsidRPr="009D371E">
        <w:t>diffuse to the bulk solution</w:t>
      </w:r>
      <w:r>
        <w:t xml:space="preserve"> [4]</w:t>
      </w:r>
      <w:r w:rsidRPr="009D371E">
        <w:t>.</w:t>
      </w:r>
      <w:r>
        <w:t xml:space="preserve"> The increase or decrease of the </w:t>
      </w:r>
      <w:r w:rsidRPr="00A20FB3">
        <w:t>concen</w:t>
      </w:r>
      <w:r>
        <w:t xml:space="preserve">tration at the membrane surface relative </w:t>
      </w:r>
      <w:r w:rsidRPr="00A20FB3">
        <w:t xml:space="preserve">to </w:t>
      </w:r>
      <w:r>
        <w:t xml:space="preserve">the bulk solution concentration determines the extent of </w:t>
      </w:r>
      <w:r w:rsidRPr="00A20FB3">
        <w:t>concentration polarization.</w:t>
      </w:r>
    </w:p>
    <w:p w14:paraId="5F7E2845" w14:textId="77777777" w:rsidR="006E2FCF" w:rsidRDefault="006E2FCF" w:rsidP="006E2FCF">
      <w:pPr>
        <w:spacing w:line="271" w:lineRule="auto"/>
        <w:rPr>
          <w:rFonts w:eastAsiaTheme="minorEastAsia"/>
        </w:rPr>
      </w:pPr>
      <m:oMath>
        <m:r>
          <w:rPr>
            <w:rFonts w:ascii="Cambria Math" w:hAnsi="Cambria Math"/>
          </w:rPr>
          <w:lastRenderedPageBreak/>
          <m:t>CP</m:t>
        </m:r>
        <m:r>
          <m:rPr>
            <m:sty m:val="p"/>
          </m:rP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e</m:t>
                </m:r>
              </m:e>
              <m:sup>
                <m:r>
                  <w:rPr>
                    <w:rFonts w:ascii="Cambria Math" w:hAnsi="Cambria Math"/>
                  </w:rPr>
                  <m:t>PK</m:t>
                </m:r>
              </m:sup>
            </m:sSup>
          </m:num>
          <m:den>
            <m:r>
              <m:rPr>
                <m:sty m:val="p"/>
              </m:rPr>
              <w:rPr>
                <w:rFonts w:ascii="Cambria Math" w:hAnsi="Cambria Math"/>
              </w:rPr>
              <m:t xml:space="preserve">1 + </m:t>
            </m:r>
            <m:sSub>
              <m:sSubPr>
                <m:ctrlPr>
                  <w:rPr>
                    <w:rFonts w:ascii="Cambria Math" w:hAnsi="Cambria Math"/>
                  </w:rPr>
                </m:ctrlPr>
              </m:sSubPr>
              <m:e>
                <m:r>
                  <w:rPr>
                    <w:rFonts w:ascii="Cambria Math" w:hAnsi="Cambria Math"/>
                  </w:rPr>
                  <m:t>E</m:t>
                </m:r>
              </m:e>
              <m:sub>
                <m:r>
                  <m:rPr>
                    <m:sty m:val="p"/>
                  </m:rPr>
                  <w:rPr>
                    <w:rFonts w:ascii="Cambria Math" w:hAnsi="Cambria Math"/>
                  </w:rPr>
                  <m:t>0</m:t>
                </m:r>
              </m:sub>
            </m:sSub>
            <m:r>
              <m:rPr>
                <m:sty m:val="p"/>
              </m:rPr>
              <w:rPr>
                <w:rFonts w:ascii="Cambria Math" w:hAnsi="Cambria Math"/>
              </w:rPr>
              <m:t>(</m:t>
            </m:r>
            <m:sSup>
              <m:sSupPr>
                <m:ctrlPr>
                  <w:rPr>
                    <w:rFonts w:ascii="Cambria Math" w:hAnsi="Cambria Math"/>
                  </w:rPr>
                </m:ctrlPr>
              </m:sSupPr>
              <m:e>
                <m:r>
                  <w:rPr>
                    <w:rFonts w:ascii="Cambria Math" w:hAnsi="Cambria Math"/>
                  </w:rPr>
                  <m:t>e</m:t>
                </m:r>
              </m:e>
              <m:sup>
                <m:r>
                  <w:rPr>
                    <w:rFonts w:ascii="Cambria Math" w:hAnsi="Cambria Math"/>
                  </w:rPr>
                  <m:t>PK</m:t>
                </m:r>
              </m:sup>
            </m:sSup>
            <m:r>
              <m:rPr>
                <m:sty m:val="p"/>
              </m:rPr>
              <w:rPr>
                <w:rFonts w:ascii="Cambria Math" w:hAnsi="Cambria Math"/>
              </w:rPr>
              <m:t>-1)</m:t>
            </m:r>
          </m:den>
        </m:f>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(8)</w:t>
      </w:r>
    </w:p>
    <w:p w14:paraId="05DBD1C9" w14:textId="77777777" w:rsidR="006E2FCF" w:rsidRDefault="006E2FCF" w:rsidP="006E2FCF">
      <w:pPr>
        <w:spacing w:line="271" w:lineRule="auto"/>
        <w:rPr>
          <w:rFonts w:eastAsiaTheme="minorEastAsia"/>
        </w:rPr>
      </w:pPr>
      <m:oMath>
        <m:r>
          <w:rPr>
            <w:rFonts w:ascii="Cambria Math" w:hAnsi="Cambria Math"/>
          </w:rPr>
          <m:t>PK</m:t>
        </m:r>
        <m:r>
          <m:rPr>
            <m:sty m:val="p"/>
          </m:rPr>
          <w:rPr>
            <w:rFonts w:ascii="Cambria Math" w:hAnsi="Cambria Math"/>
          </w:rPr>
          <m:t xml:space="preserve">= </m:t>
        </m:r>
        <m:f>
          <m:fPr>
            <m:type m:val="skw"/>
            <m:ctrlPr>
              <w:rPr>
                <w:rFonts w:ascii="Cambria Math" w:hAnsi="Cambria Math"/>
              </w:rPr>
            </m:ctrlPr>
          </m:fPr>
          <m:num>
            <m:sSub>
              <m:sSubPr>
                <m:ctrlPr>
                  <w:rPr>
                    <w:rFonts w:ascii="Cambria Math" w:hAnsi="Cambria Math"/>
                  </w:rPr>
                </m:ctrlPr>
              </m:sSubPr>
              <m:e>
                <m:r>
                  <w:rPr>
                    <w:rFonts w:ascii="Cambria Math" w:hAnsi="Cambria Math"/>
                  </w:rPr>
                  <m:t>J</m:t>
                </m:r>
              </m:e>
              <m:sub>
                <m:r>
                  <w:rPr>
                    <w:rFonts w:ascii="Cambria Math" w:hAnsi="Cambria Math"/>
                  </w:rPr>
                  <m:t>v</m:t>
                </m:r>
              </m:sub>
            </m:sSub>
            <m:r>
              <w:rPr>
                <w:rFonts w:ascii="Cambria Math" w:hAnsi="Cambria Math"/>
              </w:rPr>
              <m:t>δ</m:t>
            </m:r>
          </m:num>
          <m:den>
            <m:sSub>
              <m:sSubPr>
                <m:ctrlPr>
                  <w:rPr>
                    <w:rFonts w:ascii="Cambria Math" w:hAnsi="Cambria Math"/>
                  </w:rPr>
                </m:ctrlPr>
              </m:sSubPr>
              <m:e>
                <m:r>
                  <w:rPr>
                    <w:rFonts w:ascii="Cambria Math" w:hAnsi="Cambria Math"/>
                  </w:rPr>
                  <m:t>D</m:t>
                </m:r>
              </m:e>
              <m:sub>
                <m:r>
                  <w:rPr>
                    <w:rFonts w:ascii="Cambria Math" w:hAnsi="Cambria Math"/>
                  </w:rPr>
                  <m:t>v</m:t>
                </m:r>
              </m:sub>
            </m:sSub>
          </m:den>
        </m:f>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(9)</w:t>
      </w:r>
    </w:p>
    <w:p w14:paraId="5D0BC304" w14:textId="77777777" w:rsidR="006E2FCF" w:rsidRDefault="006E2FCF" w:rsidP="006E2FCF">
      <w:pPr>
        <w:spacing w:line="271" w:lineRule="auto"/>
      </w:pPr>
      <w:r>
        <w:t xml:space="preserve">where </w:t>
      </w:r>
      <m:oMath>
        <m:r>
          <w:rPr>
            <w:rFonts w:ascii="Cambria Math" w:hAnsi="Cambria Math"/>
          </w:rPr>
          <m:t>CP</m:t>
        </m:r>
      </m:oMath>
      <w:r>
        <w:t xml:space="preserve">, </w:t>
      </w:r>
      <m:oMath>
        <m:r>
          <w:rPr>
            <w:rFonts w:ascii="Cambria Math" w:hAnsi="Cambria Math"/>
          </w:rPr>
          <m:t>PK</m:t>
        </m:r>
      </m:oMath>
      <w:r>
        <w:t xml:space="preserve">, </w:t>
      </w:r>
      <w:r w:rsidRPr="0080450B">
        <w:t xml:space="preserve"> </w:t>
      </w:r>
      <m:oMath>
        <m:sSub>
          <m:sSubPr>
            <m:ctrlPr>
              <w:rPr>
                <w:rFonts w:ascii="Cambria Math" w:hAnsi="Cambria Math"/>
                <w:i/>
              </w:rPr>
            </m:ctrlPr>
          </m:sSubPr>
          <m:e>
            <m:r>
              <w:rPr>
                <w:rFonts w:ascii="Cambria Math" w:hAnsi="Cambria Math"/>
              </w:rPr>
              <m:t>E</m:t>
            </m:r>
          </m:e>
          <m:sub>
            <m:r>
              <w:rPr>
                <w:rFonts w:ascii="Cambria Math" w:hAnsi="Cambria Math"/>
              </w:rPr>
              <m:t>0</m:t>
            </m:r>
          </m:sub>
        </m:sSub>
      </m:oMath>
      <w:r>
        <w:t xml:space="preserve">, </w:t>
      </w:r>
      <m:oMath>
        <m:sSub>
          <m:sSubPr>
            <m:ctrlPr>
              <w:rPr>
                <w:rFonts w:ascii="Cambria Math" w:hAnsi="Cambria Math"/>
                <w:i/>
              </w:rPr>
            </m:ctrlPr>
          </m:sSubPr>
          <m:e>
            <m:r>
              <w:rPr>
                <w:rFonts w:ascii="Cambria Math" w:hAnsi="Cambria Math"/>
              </w:rPr>
              <m:t>J</m:t>
            </m:r>
          </m:e>
          <m:sub>
            <m:r>
              <w:rPr>
                <w:rFonts w:ascii="Cambria Math" w:hAnsi="Cambria Math"/>
              </w:rPr>
              <m:t>v</m:t>
            </m:r>
          </m:sub>
        </m:sSub>
      </m:oMath>
      <w:r>
        <w:t xml:space="preserve">, </w:t>
      </w:r>
      <m:oMath>
        <m:r>
          <w:rPr>
            <w:rFonts w:ascii="Cambria Math" w:hAnsi="Cambria Math"/>
          </w:rPr>
          <m:t>δ</m:t>
        </m:r>
      </m:oMath>
      <w:r>
        <w:t xml:space="preserve"> and </w:t>
      </w:r>
      <m:oMath>
        <m:sSub>
          <m:sSubPr>
            <m:ctrlPr>
              <w:rPr>
                <w:rFonts w:ascii="Cambria Math" w:hAnsi="Cambria Math"/>
                <w:i/>
              </w:rPr>
            </m:ctrlPr>
          </m:sSubPr>
          <m:e>
            <m:r>
              <w:rPr>
                <w:rFonts w:ascii="Cambria Math" w:hAnsi="Cambria Math"/>
              </w:rPr>
              <m:t>D</m:t>
            </m:r>
          </m:e>
          <m:sub>
            <m:r>
              <w:rPr>
                <w:rFonts w:ascii="Cambria Math" w:hAnsi="Cambria Math"/>
              </w:rPr>
              <m:t>v</m:t>
            </m:r>
          </m:sub>
        </m:sSub>
      </m:oMath>
      <w:r>
        <w:t xml:space="preserve"> represent concentration polarization modulus, Peclet number, enrichment factor, typical flux through membrane, boundary layer thickness and typical diffusion coefficient, respectively.  </w:t>
      </w:r>
      <w:r w:rsidRPr="0080450B">
        <w:t xml:space="preserve"> </w:t>
      </w:r>
    </w:p>
    <w:p w14:paraId="274556BB" w14:textId="77777777" w:rsidR="006E2FCF" w:rsidRDefault="0036605D" w:rsidP="006E2FCF">
      <w:pPr>
        <w:spacing w:line="271" w:lineRule="auto"/>
        <w:rPr>
          <w:rFonts w:eastAsiaTheme="minorEastAsia"/>
        </w:rPr>
      </w:pPr>
      <m:oMath>
        <m:sSub>
          <m:sSubPr>
            <m:ctrlPr>
              <w:rPr>
                <w:rFonts w:ascii="Cambria Math" w:hAnsi="Cambria Math"/>
              </w:rPr>
            </m:ctrlPr>
          </m:sSubPr>
          <m:e>
            <m:r>
              <w:rPr>
                <w:rFonts w:ascii="Cambria Math" w:hAnsi="Cambria Math"/>
              </w:rPr>
              <m:t>C</m:t>
            </m:r>
          </m:e>
          <m:sub>
            <m:r>
              <w:rPr>
                <w:rFonts w:ascii="Cambria Math" w:hAnsi="Cambria Math"/>
              </w:rPr>
              <m:t>si</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C</m:t>
            </m:r>
          </m:e>
          <m:sub>
            <m:r>
              <w:rPr>
                <w:rFonts w:ascii="Cambria Math" w:hAnsi="Cambria Math"/>
              </w:rPr>
              <m:t>pi</m:t>
            </m:r>
          </m:sub>
        </m:sSub>
        <m:r>
          <m:rPr>
            <m:sty m:val="p"/>
          </m:rPr>
          <w:rPr>
            <w:rFonts w:ascii="Cambria Math" w:hAnsi="Cambria Math"/>
          </w:rPr>
          <m:t>+</m:t>
        </m:r>
        <m:r>
          <w:rPr>
            <w:rFonts w:ascii="Cambria Math" w:hAnsi="Cambria Math"/>
          </w:rPr>
          <m:t>CP</m:t>
        </m:r>
        <m:r>
          <m:rPr>
            <m:sty m:val="p"/>
          </m:rP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fi</m:t>
            </m:r>
          </m:sub>
        </m:sSub>
        <m:r>
          <m:rPr>
            <m:sty m:val="p"/>
          </m:rP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pi</m:t>
            </m:r>
          </m:sub>
        </m:sSub>
        <m:r>
          <m:rPr>
            <m:sty m:val="p"/>
          </m:rPr>
          <w:rPr>
            <w:rFonts w:ascii="Cambria Math" w:hAnsi="Cambria Math"/>
          </w:rPr>
          <m:t>)</m:t>
        </m:r>
      </m:oMath>
      <w:r w:rsidR="006E2FCF">
        <w:rPr>
          <w:rFonts w:eastAsiaTheme="minorEastAsia"/>
        </w:rPr>
        <w:tab/>
      </w:r>
      <w:r w:rsidR="006E2FCF">
        <w:rPr>
          <w:rFonts w:eastAsiaTheme="minorEastAsia"/>
        </w:rPr>
        <w:tab/>
      </w:r>
      <w:r w:rsidR="006E2FCF">
        <w:rPr>
          <w:rFonts w:eastAsiaTheme="minorEastAsia"/>
        </w:rPr>
        <w:tab/>
      </w:r>
      <w:r w:rsidR="006E2FCF">
        <w:rPr>
          <w:rFonts w:eastAsiaTheme="minorEastAsia"/>
        </w:rPr>
        <w:tab/>
      </w:r>
      <w:r w:rsidR="006E2FCF">
        <w:rPr>
          <w:rFonts w:eastAsiaTheme="minorEastAsia"/>
        </w:rPr>
        <w:tab/>
      </w:r>
      <w:r w:rsidR="006E2FCF">
        <w:rPr>
          <w:rFonts w:eastAsiaTheme="minorEastAsia"/>
        </w:rPr>
        <w:tab/>
      </w:r>
      <w:r w:rsidR="006E2FCF">
        <w:rPr>
          <w:rFonts w:eastAsiaTheme="minorEastAsia"/>
        </w:rPr>
        <w:tab/>
      </w:r>
      <w:r w:rsidR="006E2FCF">
        <w:rPr>
          <w:rFonts w:eastAsiaTheme="minorEastAsia"/>
        </w:rPr>
        <w:tab/>
      </w:r>
      <w:r w:rsidR="006E2FCF">
        <w:rPr>
          <w:rFonts w:eastAsiaTheme="minorEastAsia"/>
        </w:rPr>
        <w:tab/>
        <w:t>(10)</w:t>
      </w:r>
    </w:p>
    <w:p w14:paraId="2A1D1B74" w14:textId="77777777" w:rsidR="006E2FCF" w:rsidRDefault="006E2FCF" w:rsidP="006E2FCF">
      <w:pPr>
        <w:spacing w:line="271" w:lineRule="auto"/>
      </w:pPr>
      <w:r>
        <w:t xml:space="preserve">where </w:t>
      </w:r>
      <m:oMath>
        <m:sSub>
          <m:sSubPr>
            <m:ctrlPr>
              <w:rPr>
                <w:rFonts w:ascii="Cambria Math" w:hAnsi="Cambria Math"/>
                <w:i/>
              </w:rPr>
            </m:ctrlPr>
          </m:sSubPr>
          <m:e>
            <m:r>
              <w:rPr>
                <w:rFonts w:ascii="Cambria Math" w:hAnsi="Cambria Math"/>
              </w:rPr>
              <m:t>C</m:t>
            </m:r>
          </m:e>
          <m:sub>
            <m:r>
              <w:rPr>
                <w:rFonts w:ascii="Cambria Math" w:hAnsi="Cambria Math"/>
              </w:rPr>
              <m:t>si</m:t>
            </m:r>
          </m:sub>
        </m:sSub>
      </m:oMath>
      <w:r>
        <w:t xml:space="preserve"> and </w:t>
      </w:r>
      <m:oMath>
        <m:sSub>
          <m:sSubPr>
            <m:ctrlPr>
              <w:rPr>
                <w:rFonts w:ascii="Cambria Math" w:hAnsi="Cambria Math"/>
                <w:i/>
              </w:rPr>
            </m:ctrlPr>
          </m:sSubPr>
          <m:e>
            <m:r>
              <w:rPr>
                <w:rFonts w:ascii="Cambria Math" w:hAnsi="Cambria Math"/>
              </w:rPr>
              <m:t>C</m:t>
            </m:r>
          </m:e>
          <m:sub>
            <m:r>
              <w:rPr>
                <w:rFonts w:ascii="Cambria Math" w:hAnsi="Cambria Math"/>
              </w:rPr>
              <m:t>fi</m:t>
            </m:r>
          </m:sub>
        </m:sSub>
      </m:oMath>
      <w:r>
        <w:t xml:space="preserve"> represent concentration at the membrane surface and feed side bulk concentration for the species, respectively.</w:t>
      </w:r>
    </w:p>
    <w:p w14:paraId="39B2EA9D" w14:textId="77777777" w:rsidR="006E2FCF" w:rsidRDefault="006E2FCF" w:rsidP="006E2FCF">
      <w:pPr>
        <w:spacing w:line="271" w:lineRule="auto"/>
      </w:pPr>
      <w:r>
        <w:t xml:space="preserve">The fouling factor is applied to membrane due to loss of permeability by compaction and scale fouling. Typically, a fouling factor less than 1.0 is applied depending on the membrane life. A correlation was developed for fouling factor which takes into account the </w:t>
      </w:r>
      <w:r w:rsidRPr="0080450B">
        <w:t>water activity reduction</w:t>
      </w:r>
      <w:r>
        <w:t xml:space="preserve"> at the membrane surface due to permeation relative to the fresh membrane under the test conditions. </w:t>
      </w:r>
    </w:p>
    <w:p w14:paraId="1FDF48BA" w14:textId="77777777" w:rsidR="006E2FCF" w:rsidRDefault="006E2FCF" w:rsidP="006E2FCF">
      <w:pPr>
        <w:spacing w:line="271" w:lineRule="auto"/>
        <w:rPr>
          <w:rFonts w:eastAsiaTheme="minorEastAsia"/>
        </w:rPr>
      </w:pPr>
      <m:oMath>
        <m:r>
          <w:rPr>
            <w:rFonts w:ascii="Cambria Math" w:hAnsi="Cambria Math"/>
          </w:rPr>
          <m:t>FF</m:t>
        </m:r>
        <m:r>
          <m:rPr>
            <m:sty m:val="p"/>
          </m:rPr>
          <w:rPr>
            <w:rFonts w:ascii="Cambria Math" w:hAnsi="Cambria Math"/>
          </w:rPr>
          <m:t>=</m:t>
        </m:r>
        <m:r>
          <w:rPr>
            <w:rFonts w:ascii="Cambria Math" w:hAnsi="Cambria Math"/>
          </w:rPr>
          <m:t>function</m:t>
        </m:r>
        <m:r>
          <m:rPr>
            <m:sty m:val="p"/>
          </m:rPr>
          <w:rPr>
            <w:rFonts w:ascii="Cambria Math" w:hAnsi="Cambria Math"/>
          </w:rPr>
          <m:t xml:space="preserve"> (</m:t>
        </m:r>
        <m:sSub>
          <m:sSubPr>
            <m:ctrlPr>
              <w:rPr>
                <w:rFonts w:ascii="Cambria Math" w:hAnsi="Cambria Math"/>
              </w:rPr>
            </m:ctrlPr>
          </m:sSubPr>
          <m:e>
            <m:r>
              <w:rPr>
                <w:rFonts w:ascii="Cambria Math" w:hAnsi="Cambria Math"/>
              </w:rPr>
              <m:t>T</m:t>
            </m:r>
          </m:e>
          <m:sub>
            <m:r>
              <w:rPr>
                <w:rFonts w:ascii="Cambria Math" w:hAnsi="Cambria Math"/>
              </w:rPr>
              <m:t>c</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π</m:t>
            </m:r>
          </m:e>
          <m:sub>
            <m:r>
              <w:rPr>
                <w:rFonts w:ascii="Cambria Math" w:hAnsi="Cambria Math"/>
              </w:rPr>
              <m:t>avg</m:t>
            </m:r>
          </m:sub>
        </m:sSub>
        <m:r>
          <m:rPr>
            <m:sty m:val="p"/>
          </m:rPr>
          <w:rPr>
            <w:rFonts w:ascii="Cambria Math" w:hAnsi="Cambria Math"/>
          </w:rPr>
          <m:t>)</m:t>
        </m:r>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(11)</w:t>
      </w:r>
    </w:p>
    <w:p w14:paraId="53F5CA2E" w14:textId="77777777" w:rsidR="006E2FCF" w:rsidRDefault="006E2FCF" w:rsidP="006E2FCF">
      <w:pPr>
        <w:spacing w:line="271" w:lineRule="auto"/>
      </w:pPr>
      <w:r>
        <w:t xml:space="preserve">where </w:t>
      </w:r>
      <m:oMath>
        <m:r>
          <w:rPr>
            <w:rFonts w:ascii="Cambria Math" w:hAnsi="Cambria Math"/>
          </w:rPr>
          <m:t>FF</m:t>
        </m:r>
      </m:oMath>
      <w:r>
        <w:t xml:space="preserve">, </w:t>
      </w:r>
      <m:oMath>
        <m:sSub>
          <m:sSubPr>
            <m:ctrlPr>
              <w:rPr>
                <w:rFonts w:ascii="Cambria Math" w:hAnsi="Cambria Math"/>
                <w:i/>
              </w:rPr>
            </m:ctrlPr>
          </m:sSubPr>
          <m:e>
            <m:r>
              <w:rPr>
                <w:rFonts w:ascii="Cambria Math" w:hAnsi="Cambria Math"/>
              </w:rPr>
              <m:t>T</m:t>
            </m:r>
          </m:e>
          <m:sub>
            <m:r>
              <w:rPr>
                <w:rFonts w:ascii="Cambria Math" w:hAnsi="Cambria Math"/>
              </w:rPr>
              <m:t>c</m:t>
            </m:r>
          </m:sub>
        </m:sSub>
      </m:oMath>
      <w:r>
        <w:t xml:space="preserve"> and </w:t>
      </w:r>
      <m:oMath>
        <m:sSub>
          <m:sSubPr>
            <m:ctrlPr>
              <w:rPr>
                <w:rFonts w:ascii="Cambria Math" w:hAnsi="Cambria Math"/>
                <w:i/>
              </w:rPr>
            </m:ctrlPr>
          </m:sSubPr>
          <m:e>
            <m:r>
              <w:rPr>
                <w:rFonts w:ascii="Cambria Math" w:hAnsi="Cambria Math"/>
              </w:rPr>
              <m:t>π</m:t>
            </m:r>
          </m:e>
          <m:sub>
            <m:r>
              <w:rPr>
                <w:rFonts w:ascii="Cambria Math" w:hAnsi="Cambria Math"/>
              </w:rPr>
              <m:t>avg</m:t>
            </m:r>
          </m:sub>
        </m:sSub>
      </m:oMath>
      <w:r>
        <w:t xml:space="preserve"> represent fouling factor, concentrate (residue) side temperature and average concentrate (residue) side osmotic pressure, respectively.</w:t>
      </w:r>
    </w:p>
    <w:p w14:paraId="175A32E9" w14:textId="77777777" w:rsidR="006E2FCF" w:rsidRDefault="006E2FCF" w:rsidP="006E2FCF">
      <w:pPr>
        <w:spacing w:line="271" w:lineRule="auto"/>
      </w:pPr>
      <w:r>
        <w:t xml:space="preserve">The osmotic pressure, self-diffusivity and densities are calculated in OLI Systems’ Mixed-Solvent Electrolyte (MSE) or Aqueous (AQ) framework. </w:t>
      </w:r>
    </w:p>
    <w:p w14:paraId="7A5FD335" w14:textId="77777777" w:rsidR="006E2FCF" w:rsidRDefault="006E2FCF" w:rsidP="006E2FCF">
      <w:pPr>
        <w:spacing w:line="271" w:lineRule="auto"/>
      </w:pPr>
      <w:r>
        <w:t xml:space="preserve">Equations (1-11) constitute the solution of the RO membrane and are simultaneously solved to calculate </w:t>
      </w:r>
      <m:oMath>
        <m:sSub>
          <m:sSubPr>
            <m:ctrlPr>
              <w:rPr>
                <w:rFonts w:ascii="Cambria Math" w:hAnsi="Cambria Math"/>
                <w:i/>
              </w:rPr>
            </m:ctrlPr>
          </m:sSubPr>
          <m:e>
            <m:r>
              <w:rPr>
                <w:rFonts w:ascii="Cambria Math" w:hAnsi="Cambria Math"/>
              </w:rPr>
              <m:t>J</m:t>
            </m:r>
          </m:e>
          <m:sub>
            <m:r>
              <w:rPr>
                <w:rFonts w:ascii="Cambria Math" w:hAnsi="Cambria Math"/>
              </w:rPr>
              <m:t>w</m:t>
            </m:r>
          </m:sub>
        </m:sSub>
      </m:oMath>
      <w:r>
        <w:t xml:space="preserve">, </w:t>
      </w:r>
      <m:oMath>
        <m:sSub>
          <m:sSubPr>
            <m:ctrlPr>
              <w:rPr>
                <w:rFonts w:ascii="Cambria Math" w:hAnsi="Cambria Math"/>
                <w:i/>
              </w:rPr>
            </m:ctrlPr>
          </m:sSubPr>
          <m:e>
            <m:r>
              <w:rPr>
                <w:rFonts w:ascii="Cambria Math" w:hAnsi="Cambria Math"/>
              </w:rPr>
              <m:t>J</m:t>
            </m:r>
          </m:e>
          <m:sub>
            <m:r>
              <w:rPr>
                <w:rFonts w:ascii="Cambria Math" w:hAnsi="Cambria Math"/>
              </w:rPr>
              <m:t>si</m:t>
            </m:r>
          </m:sub>
        </m:sSub>
      </m:oMath>
      <w:r>
        <w:rPr>
          <w:rFonts w:eastAsiaTheme="minorEastAsia"/>
        </w:rPr>
        <w:t xml:space="preserve">, </w:t>
      </w:r>
      <m:oMath>
        <m:sSub>
          <m:sSubPr>
            <m:ctrlPr>
              <w:rPr>
                <w:rFonts w:ascii="Cambria Math" w:hAnsi="Cambria Math"/>
                <w:i/>
              </w:rPr>
            </m:ctrlPr>
          </m:sSubPr>
          <m:e>
            <m:r>
              <w:rPr>
                <w:rFonts w:ascii="Cambria Math" w:hAnsi="Cambria Math"/>
              </w:rPr>
              <m:t>C</m:t>
            </m:r>
          </m:e>
          <m:sub>
            <m:r>
              <w:rPr>
                <w:rFonts w:ascii="Cambria Math" w:hAnsi="Cambria Math"/>
              </w:rPr>
              <m:t>pi</m:t>
            </m:r>
          </m:sub>
        </m:sSub>
      </m:oMath>
      <w:r>
        <w:rPr>
          <w:rFonts w:eastAsiaTheme="minorEastAsia"/>
        </w:rPr>
        <w:t xml:space="preserve">, </w:t>
      </w:r>
      <m:oMath>
        <m:sSub>
          <m:sSubPr>
            <m:ctrlPr>
              <w:rPr>
                <w:rFonts w:ascii="Cambria Math" w:hAnsi="Cambria Math"/>
                <w:i/>
              </w:rPr>
            </m:ctrlPr>
          </m:sSubPr>
          <m:e>
            <m:r>
              <w:rPr>
                <w:rFonts w:ascii="Cambria Math" w:hAnsi="Cambria Math"/>
              </w:rPr>
              <m:t>C</m:t>
            </m:r>
          </m:e>
          <m:sub>
            <m:r>
              <w:rPr>
                <w:rFonts w:ascii="Cambria Math" w:hAnsi="Cambria Math"/>
              </w:rPr>
              <m:t>si</m:t>
            </m:r>
          </m:sub>
        </m:sSub>
      </m:oMath>
      <w:r>
        <w:rPr>
          <w:rFonts w:eastAsiaTheme="minorEastAsia"/>
        </w:rPr>
        <w:t xml:space="preserve">, </w:t>
      </w:r>
      <m:oMath>
        <m:r>
          <w:rPr>
            <w:rFonts w:ascii="Cambria Math" w:hAnsi="Cambria Math"/>
          </w:rPr>
          <m:t>CP</m:t>
        </m:r>
      </m:oMath>
      <w:r>
        <w:rPr>
          <w:rFonts w:eastAsiaTheme="minorEastAsia"/>
        </w:rPr>
        <w:t xml:space="preserve"> and </w:t>
      </w:r>
      <m:oMath>
        <m:r>
          <w:rPr>
            <w:rFonts w:ascii="Cambria Math" w:hAnsi="Cambria Math"/>
          </w:rPr>
          <m:t>FF</m:t>
        </m:r>
      </m:oMath>
      <w:r>
        <w:rPr>
          <w:rFonts w:eastAsiaTheme="minorEastAsia"/>
        </w:rPr>
        <w:t xml:space="preserve">.    </w:t>
      </w:r>
      <w:r>
        <w:t xml:space="preserve">  </w:t>
      </w:r>
    </w:p>
    <w:p w14:paraId="49368BCB" w14:textId="77777777" w:rsidR="006E2FCF" w:rsidRDefault="006E2FCF" w:rsidP="006E2FCF">
      <w:pPr>
        <w:spacing w:line="271" w:lineRule="auto"/>
      </w:pPr>
    </w:p>
    <w:p w14:paraId="4C9DC82E" w14:textId="77777777" w:rsidR="006E2FCF" w:rsidRDefault="006E2FCF" w:rsidP="006E2FCF">
      <w:pPr>
        <w:pStyle w:val="Heading2"/>
      </w:pPr>
      <w:r w:rsidRPr="00AD7119">
        <w:t>Permeability Estimate</w:t>
      </w:r>
    </w:p>
    <w:p w14:paraId="5C1579F4" w14:textId="77777777" w:rsidR="006E2FCF" w:rsidRDefault="006E2FCF" w:rsidP="006E2FCF">
      <w:pPr>
        <w:spacing w:line="271" w:lineRule="auto"/>
      </w:pPr>
      <w:r>
        <w:t>In a water rich environment, hydration numbers refer to the number of water molecules in the vicinity of the ion. Thus, r</w:t>
      </w:r>
      <w:r w:rsidRPr="0080450B">
        <w:t>eal radius of an ion is the one that considers the water molecules around it (i.e., the hydrated ion radius) rather than the absolute ionic crystal radius.</w:t>
      </w:r>
      <w:r>
        <w:t xml:space="preserve"> The water molecules that these hydration number pertain to presumably move together with the ions, and are sufficiently firmly attached to them by ion-dipole interactions and hydrogen bonding to constitute a fairly stable entity [6]. Stokes radii are calculated as a function of ionic limiting conductivities and charge of species. The Stokes radii are corrected to relate Van Der Waals ionic sizes [7, 8]. The hydration numbers are calculated as a function of corrected Stokes radii, ionic limiting standard molar volume and molar volume of water. Membrane specific permeation behavior found in open literature were analyzed and from the analyzed data, a correlation was developed for permeability as a function of hydration numbers. It is worth mentioning that r</w:t>
      </w:r>
      <w:r w:rsidRPr="0080450B">
        <w:t>egardless of membrane type, the type of experiment, and the membrane configuration, the salt permeabilities are inversely proportional to the hydrated radii of the ions</w:t>
      </w:r>
      <w:r>
        <w:t xml:space="preserve"> </w:t>
      </w:r>
      <w:r w:rsidRPr="0080450B">
        <w:fldChar w:fldCharType="begin"/>
      </w:r>
      <w:r w:rsidRPr="0080450B">
        <w:instrText>ADDIN RW.CITE{{556 Ghiu,Silvana.MelaniaStefania 2003}}</w:instrText>
      </w:r>
      <w:r w:rsidRPr="0080450B">
        <w:fldChar w:fldCharType="separate"/>
      </w:r>
      <w:r w:rsidRPr="0080450B">
        <w:t>[3]</w:t>
      </w:r>
      <w:r w:rsidRPr="0080450B">
        <w:fldChar w:fldCharType="end"/>
      </w:r>
      <w:r>
        <w:t xml:space="preserve">. However, for regressing the water permeability and key components (test solutes) permeabilities, a modified subset of equations (1-11) were formulated and simultaneously solved based on the </w:t>
      </w:r>
      <w:r>
        <w:lastRenderedPageBreak/>
        <w:t xml:space="preserve">performance data provided. After calculating water and key components permeabilities, an update (but preserving the trend) in the aforementioned correlation was achieved, and the permeabilities of the rest of the ionic species were calculated from the updated correlation. </w:t>
      </w:r>
      <w:r w:rsidRPr="0080450B">
        <w:t xml:space="preserve">The advantage of this </w:t>
      </w:r>
      <w:r>
        <w:t xml:space="preserve">technique </w:t>
      </w:r>
      <w:r w:rsidRPr="0080450B">
        <w:t xml:space="preserve">is that a reasonable and preferential order of permeabilities for the membrane regardless of membrane type can be correctly estimated.  </w:t>
      </w:r>
      <w:r>
        <w:t xml:space="preserve">   </w:t>
      </w:r>
    </w:p>
    <w:p w14:paraId="3EF47F66" w14:textId="77777777" w:rsidR="006E2FCF" w:rsidRDefault="006E2FCF" w:rsidP="006E2FCF">
      <w:pPr>
        <w:spacing w:line="271" w:lineRule="auto"/>
      </w:pPr>
      <w:r w:rsidRPr="0080450B">
        <w:t xml:space="preserve">For some organics with same homologous group (i.e., alcohols, phenols, acids), the rejections </w:t>
      </w:r>
      <w:r>
        <w:t>were</w:t>
      </w:r>
      <w:r w:rsidRPr="0080450B">
        <w:t xml:space="preserve"> correlated by calculating the topological parameters characterizing molecular structure </w:t>
      </w:r>
      <w:r w:rsidRPr="0080450B">
        <w:fldChar w:fldCharType="begin"/>
      </w:r>
      <w:r w:rsidRPr="0080450B">
        <w:instrText>ADDIN RW.CITE{{555 Ksiązczak,Andrzej 1988}}</w:instrText>
      </w:r>
      <w:r w:rsidRPr="0080450B">
        <w:fldChar w:fldCharType="separate"/>
      </w:r>
      <w:r w:rsidRPr="0080450B">
        <w:t>[5]</w:t>
      </w:r>
      <w:r w:rsidRPr="0080450B">
        <w:fldChar w:fldCharType="end"/>
      </w:r>
      <w:r w:rsidRPr="0080450B">
        <w:t xml:space="preserve">. For other neutrals, self-diffusivities relative to water </w:t>
      </w:r>
      <w:r>
        <w:t xml:space="preserve">were </w:t>
      </w:r>
      <w:r w:rsidRPr="0080450B">
        <w:t>used to correlate the permeability.</w:t>
      </w:r>
      <w:r>
        <w:t xml:space="preserve"> These calculated permeabilities remain constant unless there is a change in temperature. </w:t>
      </w:r>
      <w:r w:rsidRPr="0080450B">
        <w:t xml:space="preserve"> </w:t>
      </w:r>
    </w:p>
    <w:p w14:paraId="44C84C43" w14:textId="77777777" w:rsidR="007450B6" w:rsidRDefault="007450B6" w:rsidP="006E2FCF">
      <w:pPr>
        <w:spacing w:line="271" w:lineRule="auto"/>
      </w:pPr>
    </w:p>
    <w:p w14:paraId="532288DF" w14:textId="77777777" w:rsidR="007450B6" w:rsidRPr="007450B6" w:rsidRDefault="007450B6" w:rsidP="007450B6">
      <w:pPr>
        <w:rPr>
          <w:rFonts w:asciiTheme="majorHAnsi" w:hAnsiTheme="majorHAnsi" w:cstheme="majorHAnsi"/>
          <w:b/>
          <w:sz w:val="36"/>
          <w:szCs w:val="36"/>
        </w:rPr>
      </w:pPr>
      <w:r w:rsidRPr="007450B6">
        <w:rPr>
          <w:rFonts w:asciiTheme="majorHAnsi" w:hAnsiTheme="majorHAnsi" w:cstheme="majorHAnsi"/>
          <w:b/>
          <w:sz w:val="36"/>
          <w:szCs w:val="36"/>
        </w:rPr>
        <w:t>For more Information</w:t>
      </w:r>
    </w:p>
    <w:p w14:paraId="6EE9A761" w14:textId="67ADBAF9" w:rsidR="007450B6" w:rsidRPr="00D22A3B" w:rsidRDefault="007450B6" w:rsidP="007450B6">
      <w:pPr>
        <w:rPr>
          <w:b/>
          <w:sz w:val="36"/>
          <w:szCs w:val="36"/>
        </w:rPr>
      </w:pPr>
      <w:r w:rsidRPr="00CF7236">
        <w:t>Author:</w:t>
      </w:r>
      <w:r w:rsidRPr="00CF7236">
        <w:tab/>
      </w:r>
      <w:r>
        <w:tab/>
        <w:t>Prodip Kundu</w:t>
      </w:r>
      <w:r w:rsidRPr="00CF7236">
        <w:t>, PhD, OLI Systems, Inc.</w:t>
      </w:r>
      <w:r>
        <w:t xml:space="preserve">                       </w:t>
      </w:r>
      <w:r>
        <w:tab/>
        <w:t xml:space="preserve">  </w:t>
      </w:r>
    </w:p>
    <w:p w14:paraId="367C0418" w14:textId="0EEADA6C" w:rsidR="007450B6" w:rsidRPr="001A399A" w:rsidRDefault="007450B6" w:rsidP="001A399A">
      <w:pPr>
        <w:spacing w:before="0"/>
        <w:rPr>
          <w:color w:val="0563C1" w:themeColor="hyperlink"/>
          <w:u w:val="single"/>
        </w:rPr>
      </w:pPr>
      <w:r>
        <w:br/>
      </w:r>
      <w:hyperlink r:id="rId8" w:history="1">
        <w:r w:rsidRPr="00C4114F">
          <w:rPr>
            <w:rStyle w:val="Hyperlink"/>
          </w:rPr>
          <w:t>www.olisystems.com</w:t>
        </w:r>
      </w:hyperlink>
      <w:r>
        <w:br/>
      </w:r>
    </w:p>
    <w:p w14:paraId="5AF04EDB" w14:textId="77777777" w:rsidR="007450B6" w:rsidRDefault="007450B6" w:rsidP="007450B6">
      <w:pPr>
        <w:pStyle w:val="BackPageLegal7pt"/>
        <w:rPr>
          <w:rFonts w:asciiTheme="majorHAnsi" w:hAnsiTheme="majorHAnsi"/>
          <w:noProof/>
          <w:sz w:val="18"/>
        </w:rPr>
      </w:pPr>
      <w:r>
        <w:rPr>
          <w:noProof/>
        </w:rPr>
        <mc:AlternateContent>
          <mc:Choice Requires="wps">
            <w:drawing>
              <wp:anchor distT="0" distB="0" distL="114300" distR="114300" simplePos="0" relativeHeight="251659264" behindDoc="0" locked="0" layoutInCell="1" allowOverlap="1" wp14:anchorId="7859ABD9" wp14:editId="2322A130">
                <wp:simplePos x="0" y="0"/>
                <wp:positionH relativeFrom="column">
                  <wp:posOffset>-38529</wp:posOffset>
                </wp:positionH>
                <wp:positionV relativeFrom="paragraph">
                  <wp:posOffset>196215</wp:posOffset>
                </wp:positionV>
                <wp:extent cx="1062396" cy="0"/>
                <wp:effectExtent l="0" t="0" r="0" b="0"/>
                <wp:wrapNone/>
                <wp:docPr id="208" name="Straight Connector 208"/>
                <wp:cNvGraphicFramePr/>
                <a:graphic xmlns:a="http://schemas.openxmlformats.org/drawingml/2006/main">
                  <a:graphicData uri="http://schemas.microsoft.com/office/word/2010/wordprocessingShape">
                    <wps:wsp>
                      <wps:cNvCnPr/>
                      <wps:spPr>
                        <a:xfrm>
                          <a:off x="0" y="0"/>
                          <a:ext cx="1062396" cy="0"/>
                        </a:xfrm>
                        <a:prstGeom prst="line">
                          <a:avLst/>
                        </a:prstGeom>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718EF6C" id="Straight Connector 20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5pt,15.45pt" to="80.6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" strokecolor="black [3200]" strokeweight=".5pt">
                <v:stroke joinstyle="miter"/>
              </v:line>
            </w:pict>
          </mc:Fallback>
        </mc:AlternateContent>
      </w:r>
      <w:r w:rsidRPr="00917C6B">
        <w:rPr>
          <w:noProof/>
        </w:rPr>
        <w:drawing>
          <wp:inline distT="0" distB="0" distL="0" distR="0" wp14:anchorId="028E83EF" wp14:editId="306824F8">
            <wp:extent cx="134318" cy="124724"/>
            <wp:effectExtent l="0" t="0" r="0" b="8890"/>
            <wp:docPr id="224" name="Picture 224">
              <a:hlinkClick xmlns:a="http://schemas.openxmlformats.org/drawingml/2006/main" r:id="rId9"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Picture 224">
                      <a:hlinkClick r:id="rId9" tooltip="LinkedIn"/>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054" cy="125407"/>
                    </a:xfrm>
                    <a:prstGeom prst="rect">
                      <a:avLst/>
                    </a:prstGeom>
                  </pic:spPr>
                </pic:pic>
              </a:graphicData>
            </a:graphic>
          </wp:inline>
        </w:drawing>
      </w:r>
      <w:r w:rsidRPr="00917C6B">
        <w:t xml:space="preserve">    </w:t>
      </w:r>
      <w:r>
        <w:t xml:space="preserve"> </w:t>
      </w:r>
      <w:r w:rsidRPr="00917C6B">
        <w:t xml:space="preserve"> </w:t>
      </w:r>
      <w:r w:rsidRPr="00917C6B">
        <w:rPr>
          <w:noProof/>
        </w:rPr>
        <w:drawing>
          <wp:inline distT="0" distB="0" distL="0" distR="0" wp14:anchorId="265EF9F7" wp14:editId="24A8483B">
            <wp:extent cx="155448" cy="128016"/>
            <wp:effectExtent l="0" t="0" r="0" b="5715"/>
            <wp:docPr id="210" name="Picture 210">
              <a:hlinkClick xmlns:a="http://schemas.openxmlformats.org/drawingml/2006/main" r:id="rId11"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Picture 210">
                      <a:hlinkClick r:id="rId11" tooltip="Twitter"/>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448" cy="128016"/>
                    </a:xfrm>
                    <a:prstGeom prst="rect">
                      <a:avLst/>
                    </a:prstGeom>
                  </pic:spPr>
                </pic:pic>
              </a:graphicData>
            </a:graphic>
          </wp:inline>
        </w:drawing>
      </w:r>
      <w:r w:rsidRPr="00917C6B">
        <w:t xml:space="preserve">   </w:t>
      </w:r>
      <w:r>
        <w:t xml:space="preserve"> </w:t>
      </w:r>
      <w:r w:rsidRPr="00917C6B">
        <w:t xml:space="preserve">  </w:t>
      </w:r>
      <w:r>
        <w:rPr>
          <w:noProof/>
        </w:rPr>
        <w:drawing>
          <wp:inline distT="0" distB="0" distL="0" distR="0" wp14:anchorId="66E7CE8E" wp14:editId="65EC1698">
            <wp:extent cx="192024" cy="133489"/>
            <wp:effectExtent l="0" t="0" r="0" b="0"/>
            <wp:docPr id="227" name="Picture 227">
              <a:hlinkClick xmlns:a="http://schemas.openxmlformats.org/drawingml/2006/main" r:id="rId13"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a:hlinkClick r:id="rId13" tooltip="YouTube"/>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9016" cy="159205"/>
                    </a:xfrm>
                    <a:prstGeom prst="rect">
                      <a:avLst/>
                    </a:prstGeom>
                  </pic:spPr>
                </pic:pic>
              </a:graphicData>
            </a:graphic>
          </wp:inline>
        </w:drawing>
      </w:r>
      <w:r w:rsidRPr="00917C6B">
        <w:t xml:space="preserve">      </w:t>
      </w:r>
      <w:r w:rsidRPr="00917C6B">
        <w:rPr>
          <w:noProof/>
        </w:rPr>
        <w:drawing>
          <wp:inline distT="0" distB="0" distL="0" distR="0" wp14:anchorId="2D2BAC79" wp14:editId="7F845CF8">
            <wp:extent cx="165689" cy="126239"/>
            <wp:effectExtent l="0" t="0" r="6350" b="7620"/>
            <wp:docPr id="212" name="Picture 212">
              <a:hlinkClick xmlns:a="http://schemas.openxmlformats.org/drawingml/2006/main" r:id="rId15" tooltip="Emai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Picture 212">
                      <a:hlinkClick r:id="rId15" tooltip="Email"/>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1945" cy="131005"/>
                    </a:xfrm>
                    <a:prstGeom prst="rect">
                      <a:avLst/>
                    </a:prstGeom>
                  </pic:spPr>
                </pic:pic>
              </a:graphicData>
            </a:graphic>
          </wp:inline>
        </w:drawing>
      </w:r>
    </w:p>
    <w:p w14:paraId="500E15A1" w14:textId="77777777" w:rsidR="007450B6" w:rsidRDefault="007450B6" w:rsidP="007450B6">
      <w:pPr>
        <w:spacing w:before="0"/>
      </w:pPr>
    </w:p>
    <w:p w14:paraId="476094CF" w14:textId="77777777" w:rsidR="007450B6" w:rsidRDefault="007450B6" w:rsidP="007450B6">
      <w:pPr>
        <w:spacing w:before="0"/>
      </w:pPr>
    </w:p>
    <w:p w14:paraId="5F39A270" w14:textId="77777777" w:rsidR="007450B6" w:rsidRPr="0080450B" w:rsidRDefault="007450B6" w:rsidP="006E2FCF">
      <w:pPr>
        <w:spacing w:line="271" w:lineRule="auto"/>
      </w:pPr>
    </w:p>
    <w:p w14:paraId="41198957" w14:textId="77777777" w:rsidR="006E2FCF" w:rsidRDefault="006E2FCF" w:rsidP="006E2FCF">
      <w:pPr>
        <w:spacing w:line="271" w:lineRule="auto"/>
      </w:pPr>
    </w:p>
    <w:p w14:paraId="0BB6A29B" w14:textId="77777777" w:rsidR="006E2FCF" w:rsidRDefault="006E2FCF" w:rsidP="006E2FCF">
      <w:pPr>
        <w:spacing w:before="0" w:after="160" w:line="271" w:lineRule="auto"/>
        <w:rPr>
          <w:b/>
        </w:rPr>
      </w:pPr>
      <w:r>
        <w:br w:type="page"/>
      </w:r>
    </w:p>
    <w:p w14:paraId="7888B92C" w14:textId="77777777" w:rsidR="006E2FCF" w:rsidRPr="00AD7119" w:rsidRDefault="006E2FCF" w:rsidP="006E2FCF">
      <w:pPr>
        <w:pStyle w:val="Heading2"/>
      </w:pPr>
      <w:r w:rsidRPr="00AD7119">
        <w:lastRenderedPageBreak/>
        <w:t>References</w:t>
      </w:r>
    </w:p>
    <w:p w14:paraId="3034B4E9" w14:textId="77777777" w:rsidR="006E2FCF" w:rsidRPr="0080450B" w:rsidRDefault="006E2FCF" w:rsidP="006E2FCF">
      <w:pPr>
        <w:pStyle w:val="NormalWeb"/>
      </w:pPr>
      <w:r w:rsidRPr="0080450B">
        <w:fldChar w:fldCharType="begin"/>
      </w:r>
      <w:r w:rsidRPr="0080450B">
        <w:instrText>ADDIN RW.BIB</w:instrText>
      </w:r>
      <w:r w:rsidRPr="0080450B">
        <w:fldChar w:fldCharType="separate"/>
      </w:r>
      <w:r w:rsidRPr="0080450B">
        <w:t>[1] S.M.J. Zaidi, F. Fadhillah, Z. Khan, and A.F. Ismail. Salt and water transport in reverse osmosis thin film composite seawater desalination membranes. Desalination, 368 (2015) 202.</w:t>
      </w:r>
    </w:p>
    <w:p w14:paraId="710D2615" w14:textId="77777777" w:rsidR="006E2FCF" w:rsidRPr="0080450B" w:rsidRDefault="006E2FCF" w:rsidP="006E2FCF">
      <w:pPr>
        <w:pStyle w:val="NormalWeb"/>
      </w:pPr>
      <w:r w:rsidRPr="0080450B">
        <w:t>[2] P. Mukherjee, A. Sengupta. Ion exchange selectivity as a surrogate indicator of relative permeability of ions in reverse osmosis processes. Environ. Sci. Technol., 37 (2003) 1432.</w:t>
      </w:r>
    </w:p>
    <w:p w14:paraId="207AF2DC" w14:textId="77777777" w:rsidR="006E2FCF" w:rsidRPr="0080450B" w:rsidRDefault="006E2FCF" w:rsidP="006E2FCF">
      <w:pPr>
        <w:pStyle w:val="NormalWeb"/>
      </w:pPr>
      <w:r w:rsidRPr="0080450B">
        <w:t>[3] S.M.S. Ghiu, Mass transfer of ionic species in direct and reverse osmosis processes, Doctoral dissertation, University of South Florida, 2003.</w:t>
      </w:r>
    </w:p>
    <w:p w14:paraId="27C3A5E2" w14:textId="77777777" w:rsidR="006E2FCF" w:rsidRPr="0080450B" w:rsidRDefault="006E2FCF" w:rsidP="006E2FCF">
      <w:pPr>
        <w:pStyle w:val="NormalWeb"/>
      </w:pPr>
      <w:r w:rsidRPr="0080450B">
        <w:t>[4] R.W. Baker, Membrane technology and applications, 2</w:t>
      </w:r>
      <w:r w:rsidRPr="0080450B">
        <w:rPr>
          <w:vertAlign w:val="superscript"/>
        </w:rPr>
        <w:t>nd</w:t>
      </w:r>
      <w:r w:rsidRPr="0080450B">
        <w:t xml:space="preserve"> Ed., Chichester, England: Wiley, 2004.</w:t>
      </w:r>
    </w:p>
    <w:p w14:paraId="17BF9F47" w14:textId="77777777" w:rsidR="006E2FCF" w:rsidRDefault="006E2FCF" w:rsidP="006E2FCF">
      <w:pPr>
        <w:pStyle w:val="NormalWeb"/>
      </w:pPr>
      <w:r w:rsidRPr="0080450B">
        <w:t>[5] A. Ksiązczak, A. Anderko. A chemical approach to the prediction of thermophysical properties of associating compounds. Berichte der Bunsengesellschaft für physikalische Chemie, 92 (1988) 496.</w:t>
      </w:r>
      <w:r w:rsidRPr="0080450B">
        <w:fldChar w:fldCharType="end"/>
      </w:r>
    </w:p>
    <w:p w14:paraId="2D4E27E8" w14:textId="77777777" w:rsidR="006E2FCF" w:rsidRDefault="006E2FCF" w:rsidP="006E2FCF">
      <w:pPr>
        <w:pStyle w:val="NormalWeb"/>
      </w:pPr>
      <w:r>
        <w:t>[6] Y. Marcus. Ion properties, 1</w:t>
      </w:r>
      <w:r w:rsidRPr="007644C0">
        <w:rPr>
          <w:vertAlign w:val="superscript"/>
        </w:rPr>
        <w:t>st</w:t>
      </w:r>
      <w:r>
        <w:t xml:space="preserve"> Ed., New York: Marcel Dekker, 1997.</w:t>
      </w:r>
    </w:p>
    <w:p w14:paraId="2A5DC334" w14:textId="77777777" w:rsidR="006E2FCF" w:rsidRDefault="006E2FCF" w:rsidP="006E2FCF">
      <w:pPr>
        <w:pStyle w:val="NormalWeb"/>
      </w:pPr>
      <w:r>
        <w:t>[7] Y. Marcus. Ion solvation, 1</w:t>
      </w:r>
      <w:r w:rsidRPr="007644C0">
        <w:rPr>
          <w:vertAlign w:val="superscript"/>
        </w:rPr>
        <w:t>st</w:t>
      </w:r>
      <w:r>
        <w:t xml:space="preserve"> Ed., New York: John Wiley &amp; Sons, 1985.</w:t>
      </w:r>
    </w:p>
    <w:p w14:paraId="6A166626" w14:textId="77777777" w:rsidR="002C67A2" w:rsidRPr="006E2FCF" w:rsidRDefault="006E2FCF" w:rsidP="006E2FCF">
      <w:pPr>
        <w:pStyle w:val="NormalWeb"/>
      </w:pPr>
      <w:r>
        <w:t xml:space="preserve">[8] R.E. Nightingale. Phenomenological theory of ion solvation: Effective radii of hydrated ions, J. Phys. Chem., 63 (1959) 1381.  </w:t>
      </w:r>
    </w:p>
    <w:sectPr w:rsidR="002C67A2" w:rsidRPr="006E2FCF" w:rsidSect="00C67BBC">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D7CDC" w14:textId="77777777" w:rsidR="0036605D" w:rsidRDefault="0036605D" w:rsidP="0006549B">
      <w:r>
        <w:separator/>
      </w:r>
    </w:p>
  </w:endnote>
  <w:endnote w:type="continuationSeparator" w:id="0">
    <w:p w14:paraId="07CEFA5F" w14:textId="77777777" w:rsidR="0036605D" w:rsidRDefault="0036605D" w:rsidP="00065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ricHPE Light">
    <w:altName w:val="Calibri"/>
    <w:panose1 w:val="00000000000000000000"/>
    <w:charset w:val="00"/>
    <w:family w:val="swiss"/>
    <w:notTrueType/>
    <w:pitch w:val="variable"/>
    <w:sig w:usb0="00000007" w:usb1="00000000" w:usb2="00000000" w:usb3="00000000" w:csb0="0000009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90F35" w14:textId="77777777" w:rsidR="00FD66E5" w:rsidRDefault="00B05DCA">
    <w:pPr>
      <w:pStyle w:val="Footer"/>
    </w:pPr>
    <w:r>
      <w:t>Technical basis for OLI membrane technology</w:t>
    </w:r>
    <w:r w:rsidR="00FD66E5">
      <w:t xml:space="preserve"> </w:t>
    </w:r>
    <w:r w:rsidR="00FD66E5">
      <w:ptab w:relativeTo="margin" w:alignment="center" w:leader="none"/>
    </w:r>
    <w:r w:rsidR="00FD66E5">
      <w:t xml:space="preserve"> </w:t>
    </w:r>
    <w:r w:rsidR="00FD66E5">
      <w:ptab w:relativeTo="margin" w:alignment="right" w:leader="none"/>
    </w:r>
    <w:r w:rsidR="00FD66E5">
      <w:t xml:space="preserve">Page </w:t>
    </w:r>
    <w:r w:rsidR="00FD66E5">
      <w:fldChar w:fldCharType="begin"/>
    </w:r>
    <w:r w:rsidR="00FD66E5">
      <w:instrText xml:space="preserve"> PAGE   \* MERGEFORMAT </w:instrText>
    </w:r>
    <w:r w:rsidR="00FD66E5">
      <w:fldChar w:fldCharType="separate"/>
    </w:r>
    <w:r w:rsidR="007450B6">
      <w:rPr>
        <w:noProof/>
      </w:rPr>
      <w:t>6</w:t>
    </w:r>
    <w:r w:rsidR="00FD66E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5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600" w:firstRow="0" w:lastRow="0" w:firstColumn="0" w:lastColumn="0" w:noHBand="1" w:noVBand="1"/>
    </w:tblPr>
    <w:tblGrid>
      <w:gridCol w:w="2430"/>
      <w:gridCol w:w="7110"/>
    </w:tblGrid>
    <w:tr w:rsidR="007450B6" w:rsidRPr="00917C6B" w14:paraId="3C97020A" w14:textId="77777777" w:rsidTr="007450B6">
      <w:trPr>
        <w:trHeight w:val="1008"/>
      </w:trPr>
      <w:tc>
        <w:tcPr>
          <w:tcW w:w="2430" w:type="dxa"/>
        </w:tcPr>
        <w:p w14:paraId="18CA2B3A" w14:textId="77777777" w:rsidR="007450B6" w:rsidRPr="00FF65AF" w:rsidRDefault="007450B6" w:rsidP="007450B6">
          <w:pPr>
            <w:pStyle w:val="BackPageLegal7pt"/>
            <w:rPr>
              <w:rFonts w:ascii="Calibri Light" w:hAnsi="Calibri Light"/>
              <w:sz w:val="16"/>
            </w:rPr>
          </w:pPr>
          <w:r>
            <w:rPr>
              <w:rFonts w:asciiTheme="majorHAnsi" w:hAnsiTheme="majorHAnsi"/>
              <w:noProof/>
              <w:sz w:val="18"/>
            </w:rPr>
            <w:drawing>
              <wp:inline distT="0" distB="0" distL="0" distR="0" wp14:anchorId="1976C13E" wp14:editId="0A917E76">
                <wp:extent cx="967136" cy="604844"/>
                <wp:effectExtent l="0" t="0" r="4445" b="508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Picture 221"/>
                        <pic:cNvPicPr/>
                      </pic:nvPicPr>
                      <pic:blipFill>
                        <a:blip r:embed="rId1">
                          <a:extLst>
                            <a:ext uri="{28A0092B-C50C-407E-A947-70E740481C1C}">
                              <a14:useLocalDpi xmlns:a14="http://schemas.microsoft.com/office/drawing/2010/main" val="0"/>
                            </a:ext>
                          </a:extLst>
                        </a:blip>
                        <a:stretch>
                          <a:fillRect/>
                        </a:stretch>
                      </pic:blipFill>
                      <pic:spPr>
                        <a:xfrm>
                          <a:off x="0" y="0"/>
                          <a:ext cx="967136" cy="604844"/>
                        </a:xfrm>
                        <a:prstGeom prst="rect">
                          <a:avLst/>
                        </a:prstGeom>
                      </pic:spPr>
                    </pic:pic>
                  </a:graphicData>
                </a:graphic>
              </wp:inline>
            </w:drawing>
          </w:r>
        </w:p>
      </w:tc>
      <w:tc>
        <w:tcPr>
          <w:tcW w:w="7110" w:type="dxa"/>
          <w:tcBorders>
            <w:top w:val="single" w:sz="12" w:space="0" w:color="8496B0" w:themeColor="text2" w:themeTint="99"/>
          </w:tcBorders>
          <w:tcMar>
            <w:top w:w="72" w:type="dxa"/>
            <w:left w:w="0" w:type="dxa"/>
          </w:tcMar>
        </w:tcPr>
        <w:p w14:paraId="1EE91276" w14:textId="2A4CBB46" w:rsidR="007450B6" w:rsidRPr="00B827AC" w:rsidRDefault="007450B6" w:rsidP="007450B6">
          <w:pPr>
            <w:pStyle w:val="BackPageLegal7pt"/>
            <w:rPr>
              <w:rFonts w:ascii="Calibri Light" w:hAnsi="Calibri Light"/>
              <w:sz w:val="18"/>
            </w:rPr>
          </w:pPr>
          <w:r w:rsidRPr="00B827AC">
            <w:rPr>
              <w:rFonts w:ascii="Calibri Light" w:hAnsi="Calibri Light"/>
              <w:sz w:val="18"/>
            </w:rPr>
            <w:t>© Copyright 20</w:t>
          </w:r>
          <w:r w:rsidR="001A399A">
            <w:rPr>
              <w:rFonts w:ascii="Calibri Light" w:hAnsi="Calibri Light"/>
              <w:sz w:val="18"/>
            </w:rPr>
            <w:t>18</w:t>
          </w:r>
          <w:r w:rsidRPr="00B827AC">
            <w:rPr>
              <w:rFonts w:ascii="Calibri Light" w:hAnsi="Calibri Light"/>
              <w:sz w:val="18"/>
            </w:rPr>
            <w:t xml:space="preserve"> OLI Systems, Inc. The information contained herein is subject to change without notice. OLI Systems, Inc. shall not be liable for technical or editorial errors or omissions contained herein.</w:t>
          </w:r>
        </w:p>
        <w:p w14:paraId="6E75E9CB" w14:textId="77777777" w:rsidR="007450B6" w:rsidRPr="00917C6B" w:rsidRDefault="007450B6" w:rsidP="007450B6">
          <w:pPr>
            <w:pStyle w:val="BackPageLegal7pt"/>
          </w:pPr>
          <w:r w:rsidRPr="00B827AC">
            <w:rPr>
              <w:rFonts w:ascii="Calibri Light" w:hAnsi="Calibri Light"/>
              <w:noProof/>
              <w:sz w:val="18"/>
            </w:rPr>
            <w:drawing>
              <wp:anchor distT="0" distB="0" distL="114300" distR="114300" simplePos="0" relativeHeight="251659264" behindDoc="0" locked="0" layoutInCell="1" allowOverlap="1" wp14:anchorId="609DD37B" wp14:editId="21C6F0B9">
                <wp:simplePos x="0" y="0"/>
                <wp:positionH relativeFrom="page">
                  <wp:posOffset>6750050</wp:posOffset>
                </wp:positionH>
                <wp:positionV relativeFrom="page">
                  <wp:posOffset>9025255</wp:posOffset>
                </wp:positionV>
                <wp:extent cx="579120" cy="579120"/>
                <wp:effectExtent l="0" t="0" r="0" b="0"/>
                <wp:wrapNone/>
                <wp:docPr id="22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 Logo Blue RGB.eps"/>
                        <pic:cNvPicPr/>
                      </pic:nvPicPr>
                      <pic:blipFill>
                        <a:blip r:embed="rId2">
                          <a:extLst>
                            <a:ext uri="{28A0092B-C50C-407E-A947-70E740481C1C}">
                              <a14:useLocalDpi xmlns:a14="http://schemas.microsoft.com/office/drawing/2010/main" val="0"/>
                            </a:ext>
                          </a:extLst>
                        </a:blip>
                        <a:stretch>
                          <a:fillRect/>
                        </a:stretch>
                      </pic:blipFill>
                      <pic:spPr>
                        <a:xfrm>
                          <a:off x="0" y="0"/>
                          <a:ext cx="579120" cy="5791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rFonts w:ascii="Calibri Light" w:hAnsi="Calibri Light"/>
              <w:sz w:val="18"/>
            </w:rPr>
            <w:t xml:space="preserve">May </w:t>
          </w:r>
          <w:r w:rsidRPr="00B827AC">
            <w:rPr>
              <w:rFonts w:ascii="Calibri Light" w:hAnsi="Calibri Light"/>
              <w:sz w:val="18"/>
            </w:rPr>
            <w:t>2018</w:t>
          </w:r>
        </w:p>
      </w:tc>
    </w:tr>
  </w:tbl>
  <w:p w14:paraId="083605B0" w14:textId="77777777" w:rsidR="007450B6" w:rsidRDefault="00745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C88E5" w14:textId="77777777" w:rsidR="0036605D" w:rsidRDefault="0036605D" w:rsidP="0006549B">
      <w:r>
        <w:separator/>
      </w:r>
    </w:p>
  </w:footnote>
  <w:footnote w:type="continuationSeparator" w:id="0">
    <w:p w14:paraId="7CAE2A48" w14:textId="77777777" w:rsidR="0036605D" w:rsidRDefault="0036605D" w:rsidP="00065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4DCBD" w14:textId="77777777" w:rsidR="007450B6" w:rsidRDefault="007450B6" w:rsidP="007450B6">
    <w:pPr>
      <w:pStyle w:val="Header"/>
    </w:pPr>
    <w:r>
      <w:rPr>
        <w:rFonts w:asciiTheme="majorHAnsi" w:hAnsiTheme="majorHAnsi"/>
        <w:noProof/>
        <w:sz w:val="18"/>
        <w:szCs w:val="18"/>
      </w:rPr>
      <w:drawing>
        <wp:inline distT="0" distB="0" distL="0" distR="0" wp14:anchorId="18537FA8" wp14:editId="32D96C0D">
          <wp:extent cx="967136" cy="604844"/>
          <wp:effectExtent l="0" t="0" r="4445"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extLst>
                      <a:ext uri="{28A0092B-C50C-407E-A947-70E740481C1C}">
                        <a14:useLocalDpi xmlns:a14="http://schemas.microsoft.com/office/drawing/2010/main" val="0"/>
                      </a:ext>
                    </a:extLst>
                  </a:blip>
                  <a:stretch>
                    <a:fillRect/>
                  </a:stretch>
                </pic:blipFill>
                <pic:spPr>
                  <a:xfrm>
                    <a:off x="0" y="0"/>
                    <a:ext cx="967136" cy="604844"/>
                  </a:xfrm>
                  <a:prstGeom prst="rect">
                    <a:avLst/>
                  </a:prstGeom>
                </pic:spPr>
              </pic:pic>
            </a:graphicData>
          </a:graphic>
        </wp:inline>
      </w:drawing>
    </w:r>
    <w:r w:rsidRPr="00B633B0">
      <w:t xml:space="preserve"> </w:t>
    </w:r>
    <w:r>
      <w:tab/>
    </w:r>
    <w:r>
      <w:tab/>
    </w:r>
  </w:p>
  <w:p w14:paraId="7AC4E53F" w14:textId="24BB175D" w:rsidR="007450B6" w:rsidRPr="00056858" w:rsidRDefault="007450B6" w:rsidP="007450B6">
    <w:pPr>
      <w:pStyle w:val="Header"/>
      <w:rPr>
        <w:b/>
        <w:noProof/>
        <w:color w:val="00B050"/>
      </w:rPr>
    </w:pPr>
    <w:r w:rsidRPr="001A399A">
      <w:rPr>
        <w:b/>
        <w:noProof/>
        <w:color w:val="FFC000" w:themeColor="accent4"/>
      </w:rPr>
      <w:t>THINK SIMULATION</w:t>
    </w:r>
    <w:r w:rsidR="001A399A" w:rsidRPr="001A399A">
      <w:rPr>
        <w:b/>
        <w:noProof/>
        <w:color w:val="FFC000" w:themeColor="accent4"/>
      </w:rPr>
      <w:t xml:space="preserve"> | </w:t>
    </w:r>
    <w:r w:rsidRPr="001A399A">
      <w:rPr>
        <w:noProof/>
        <w:color w:val="FFC000" w:themeColor="accent4"/>
      </w:rPr>
      <w:t>Getting the chemistry right</w:t>
    </w:r>
  </w:p>
  <w:p w14:paraId="6E9B90A1" w14:textId="77777777" w:rsidR="007450B6" w:rsidRDefault="007450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31586"/>
    <w:multiLevelType w:val="hybridMultilevel"/>
    <w:tmpl w:val="FBDCE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730F0"/>
    <w:multiLevelType w:val="singleLevel"/>
    <w:tmpl w:val="9168AEC6"/>
    <w:lvl w:ilvl="0">
      <w:start w:val="1"/>
      <w:numFmt w:val="decimal"/>
      <w:lvlText w:val="%1."/>
      <w:legacy w:legacy="1" w:legacySpace="0" w:legacyIndent="360"/>
      <w:lvlJc w:val="left"/>
      <w:pPr>
        <w:ind w:left="360" w:hanging="360"/>
      </w:pPr>
    </w:lvl>
  </w:abstractNum>
  <w:abstractNum w:abstractNumId="2" w15:restartNumberingAfterBreak="0">
    <w:nsid w:val="13B96190"/>
    <w:multiLevelType w:val="hybridMultilevel"/>
    <w:tmpl w:val="2064ED1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BE3E6C"/>
    <w:multiLevelType w:val="hybridMultilevel"/>
    <w:tmpl w:val="529CB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020D4F"/>
    <w:multiLevelType w:val="hybridMultilevel"/>
    <w:tmpl w:val="2C2E2C64"/>
    <w:lvl w:ilvl="0" w:tplc="798ED52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B37F23"/>
    <w:multiLevelType w:val="hybridMultilevel"/>
    <w:tmpl w:val="CE82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B54C62"/>
    <w:multiLevelType w:val="hybridMultilevel"/>
    <w:tmpl w:val="DE7A8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2F6A39"/>
    <w:multiLevelType w:val="hybridMultilevel"/>
    <w:tmpl w:val="F74A8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1"/>
  </w:num>
  <w:num w:numId="5">
    <w:abstractNumId w:val="7"/>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14B"/>
    <w:rsid w:val="0006549B"/>
    <w:rsid w:val="001A399A"/>
    <w:rsid w:val="00201F00"/>
    <w:rsid w:val="002072E8"/>
    <w:rsid w:val="002425CA"/>
    <w:rsid w:val="002749F9"/>
    <w:rsid w:val="002C67A2"/>
    <w:rsid w:val="0036605D"/>
    <w:rsid w:val="00472D23"/>
    <w:rsid w:val="004B3DB9"/>
    <w:rsid w:val="005201F0"/>
    <w:rsid w:val="00567DD9"/>
    <w:rsid w:val="00575BF1"/>
    <w:rsid w:val="005D5E76"/>
    <w:rsid w:val="005E3D4C"/>
    <w:rsid w:val="006E2FCF"/>
    <w:rsid w:val="006F1151"/>
    <w:rsid w:val="007450B6"/>
    <w:rsid w:val="00835E49"/>
    <w:rsid w:val="008364D1"/>
    <w:rsid w:val="0088540D"/>
    <w:rsid w:val="008E5D05"/>
    <w:rsid w:val="008F47DC"/>
    <w:rsid w:val="00904E54"/>
    <w:rsid w:val="0097585A"/>
    <w:rsid w:val="00B0213F"/>
    <w:rsid w:val="00B05DCA"/>
    <w:rsid w:val="00BF0F9D"/>
    <w:rsid w:val="00C67BBC"/>
    <w:rsid w:val="00C96773"/>
    <w:rsid w:val="00CF514B"/>
    <w:rsid w:val="00DB5969"/>
    <w:rsid w:val="00E0037D"/>
    <w:rsid w:val="00E24500"/>
    <w:rsid w:val="00EA1C50"/>
    <w:rsid w:val="00F1112F"/>
    <w:rsid w:val="00F470D1"/>
    <w:rsid w:val="00F909AC"/>
    <w:rsid w:val="00FA2F55"/>
    <w:rsid w:val="00FD66E5"/>
    <w:rsid w:val="00FE6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D2955"/>
  <w15:chartTrackingRefBased/>
  <w15:docId w15:val="{B39CDEDA-5E3C-4C5B-83D6-1444177B3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49B"/>
    <w:pPr>
      <w:spacing w:before="120" w:after="120" w:line="240" w:lineRule="auto"/>
    </w:pPr>
    <w:rPr>
      <w:lang w:bidi="en-US"/>
    </w:rPr>
  </w:style>
  <w:style w:type="paragraph" w:styleId="Heading1">
    <w:name w:val="heading 1"/>
    <w:basedOn w:val="Heading3"/>
    <w:next w:val="Normal"/>
    <w:link w:val="Heading1Char"/>
    <w:uiPriority w:val="9"/>
    <w:qFormat/>
    <w:rsid w:val="0006549B"/>
    <w:pPr>
      <w:outlineLvl w:val="0"/>
    </w:pPr>
    <w:rPr>
      <w:color w:val="4472C4" w:themeColor="accent1"/>
    </w:rPr>
  </w:style>
  <w:style w:type="paragraph" w:styleId="Heading2">
    <w:name w:val="heading 2"/>
    <w:basedOn w:val="Heading4"/>
    <w:next w:val="Normal"/>
    <w:link w:val="Heading2Char"/>
    <w:uiPriority w:val="9"/>
    <w:unhideWhenUsed/>
    <w:qFormat/>
    <w:rsid w:val="006E2FCF"/>
    <w:pPr>
      <w:outlineLvl w:val="1"/>
    </w:pPr>
  </w:style>
  <w:style w:type="paragraph" w:styleId="Heading3">
    <w:name w:val="heading 3"/>
    <w:basedOn w:val="Normal"/>
    <w:next w:val="Normal"/>
    <w:link w:val="Heading3Char"/>
    <w:uiPriority w:val="9"/>
    <w:unhideWhenUsed/>
    <w:qFormat/>
    <w:rsid w:val="00CF514B"/>
    <w:pPr>
      <w:spacing w:before="320" w:after="0" w:line="360" w:lineRule="auto"/>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unhideWhenUsed/>
    <w:qFormat/>
    <w:rsid w:val="00CF514B"/>
    <w:pPr>
      <w:spacing w:before="280" w:after="0" w:line="360" w:lineRule="auto"/>
      <w:outlineLvl w:val="3"/>
    </w:pPr>
    <w:rPr>
      <w:rFonts w:asciiTheme="majorHAnsi" w:eastAsiaTheme="majorEastAsia" w:hAnsiTheme="majorHAnsi" w:cstheme="majorBidi"/>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514B"/>
    <w:rPr>
      <w:rFonts w:asciiTheme="majorHAnsi" w:eastAsiaTheme="majorEastAsia" w:hAnsiTheme="majorHAnsi" w:cstheme="majorBidi"/>
      <w:b/>
      <w:bCs/>
      <w:i/>
      <w:iCs/>
      <w:sz w:val="26"/>
      <w:szCs w:val="26"/>
      <w:lang w:bidi="en-US"/>
    </w:rPr>
  </w:style>
  <w:style w:type="character" w:customStyle="1" w:styleId="Heading4Char">
    <w:name w:val="Heading 4 Char"/>
    <w:basedOn w:val="DefaultParagraphFont"/>
    <w:link w:val="Heading4"/>
    <w:uiPriority w:val="9"/>
    <w:rsid w:val="00CF514B"/>
    <w:rPr>
      <w:rFonts w:asciiTheme="majorHAnsi" w:eastAsiaTheme="majorEastAsia" w:hAnsiTheme="majorHAnsi" w:cstheme="majorBidi"/>
      <w:b/>
      <w:bCs/>
      <w:i/>
      <w:iCs/>
      <w:sz w:val="24"/>
      <w:szCs w:val="24"/>
      <w:lang w:bidi="en-US"/>
    </w:rPr>
  </w:style>
  <w:style w:type="paragraph" w:styleId="ListParagraph">
    <w:name w:val="List Paragraph"/>
    <w:basedOn w:val="Normal"/>
    <w:uiPriority w:val="34"/>
    <w:qFormat/>
    <w:rsid w:val="00CF514B"/>
    <w:pPr>
      <w:ind w:left="720"/>
      <w:contextualSpacing/>
    </w:pPr>
  </w:style>
  <w:style w:type="character" w:customStyle="1" w:styleId="Heading2Char">
    <w:name w:val="Heading 2 Char"/>
    <w:basedOn w:val="DefaultParagraphFont"/>
    <w:link w:val="Heading2"/>
    <w:uiPriority w:val="9"/>
    <w:rsid w:val="006E2FCF"/>
    <w:rPr>
      <w:rFonts w:asciiTheme="majorHAnsi" w:eastAsiaTheme="majorEastAsia" w:hAnsiTheme="majorHAnsi" w:cstheme="majorBidi"/>
      <w:b/>
      <w:bCs/>
      <w:i/>
      <w:iCs/>
      <w:sz w:val="24"/>
      <w:szCs w:val="24"/>
      <w:lang w:bidi="en-US"/>
    </w:rPr>
  </w:style>
  <w:style w:type="paragraph" w:styleId="NormalWeb">
    <w:name w:val="Normal (Web)"/>
    <w:basedOn w:val="Normal"/>
    <w:uiPriority w:val="99"/>
    <w:unhideWhenUsed/>
    <w:rsid w:val="00CF514B"/>
    <w:pPr>
      <w:spacing w:before="100" w:beforeAutospacing="1" w:after="100" w:afterAutospacing="1"/>
    </w:pPr>
    <w:rPr>
      <w:rFonts w:ascii="Times New Roman" w:eastAsia="Times New Roman" w:hAnsi="Times New Roman" w:cs="Times New Roman"/>
      <w:sz w:val="24"/>
      <w:szCs w:val="24"/>
      <w:lang w:bidi="ar-SA"/>
    </w:rPr>
  </w:style>
  <w:style w:type="paragraph" w:styleId="Caption">
    <w:name w:val="caption"/>
    <w:basedOn w:val="Normal"/>
    <w:next w:val="Normal"/>
    <w:uiPriority w:val="35"/>
    <w:unhideWhenUsed/>
    <w:qFormat/>
    <w:rsid w:val="004B3DB9"/>
    <w:rPr>
      <w:b/>
      <w:bCs/>
      <w:sz w:val="18"/>
      <w:szCs w:val="18"/>
    </w:rPr>
  </w:style>
  <w:style w:type="table" w:customStyle="1" w:styleId="LightList1">
    <w:name w:val="Light List1"/>
    <w:basedOn w:val="TableNormal"/>
    <w:uiPriority w:val="61"/>
    <w:rsid w:val="004B3DB9"/>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nhideWhenUsed/>
    <w:rsid w:val="004B3DB9"/>
    <w:pPr>
      <w:spacing w:after="0"/>
    </w:pPr>
    <w:rPr>
      <w:rFonts w:ascii="Times New Roman" w:eastAsia="Times New Roman" w:hAnsi="Times New Roman" w:cs="Times New Roman"/>
      <w:sz w:val="24"/>
      <w:szCs w:val="24"/>
      <w:lang w:bidi="ar-SA"/>
    </w:rPr>
  </w:style>
  <w:style w:type="character" w:customStyle="1" w:styleId="FootnoteTextChar">
    <w:name w:val="Footnote Text Char"/>
    <w:basedOn w:val="DefaultParagraphFont"/>
    <w:link w:val="FootnoteText"/>
    <w:rsid w:val="004B3DB9"/>
    <w:rPr>
      <w:rFonts w:ascii="Times New Roman" w:eastAsia="Times New Roman" w:hAnsi="Times New Roman" w:cs="Times New Roman"/>
      <w:sz w:val="24"/>
      <w:szCs w:val="24"/>
    </w:rPr>
  </w:style>
  <w:style w:type="character" w:styleId="FootnoteReference">
    <w:name w:val="footnote reference"/>
    <w:basedOn w:val="DefaultParagraphFont"/>
    <w:semiHidden/>
    <w:unhideWhenUsed/>
    <w:rsid w:val="004B3DB9"/>
    <w:rPr>
      <w:vertAlign w:val="superscript"/>
    </w:rPr>
  </w:style>
  <w:style w:type="table" w:customStyle="1" w:styleId="LightList2">
    <w:name w:val="Light List2"/>
    <w:basedOn w:val="TableNormal"/>
    <w:uiPriority w:val="61"/>
    <w:rsid w:val="004B3DB9"/>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4B3DB9"/>
    <w:rPr>
      <w:color w:val="0563C1" w:themeColor="hyperlink"/>
      <w:u w:val="single"/>
    </w:rPr>
  </w:style>
  <w:style w:type="character" w:customStyle="1" w:styleId="Heading1Char">
    <w:name w:val="Heading 1 Char"/>
    <w:basedOn w:val="DefaultParagraphFont"/>
    <w:link w:val="Heading1"/>
    <w:uiPriority w:val="9"/>
    <w:rsid w:val="0006549B"/>
    <w:rPr>
      <w:rFonts w:asciiTheme="majorHAnsi" w:eastAsiaTheme="majorEastAsia" w:hAnsiTheme="majorHAnsi" w:cstheme="majorBidi"/>
      <w:b/>
      <w:bCs/>
      <w:i/>
      <w:iCs/>
      <w:color w:val="4472C4" w:themeColor="accent1"/>
      <w:sz w:val="26"/>
      <w:szCs w:val="26"/>
      <w:lang w:bidi="en-US"/>
    </w:rPr>
  </w:style>
  <w:style w:type="paragraph" w:styleId="TOCHeading">
    <w:name w:val="TOC Heading"/>
    <w:basedOn w:val="Heading1"/>
    <w:next w:val="Normal"/>
    <w:uiPriority w:val="39"/>
    <w:unhideWhenUsed/>
    <w:qFormat/>
    <w:rsid w:val="0006549B"/>
    <w:pPr>
      <w:keepNext/>
      <w:keepLines/>
      <w:spacing w:before="240" w:line="259" w:lineRule="auto"/>
      <w:outlineLvl w:val="9"/>
    </w:pPr>
    <w:rPr>
      <w:b w:val="0"/>
      <w:bCs w:val="0"/>
      <w:i w:val="0"/>
      <w:iCs w:val="0"/>
      <w:color w:val="2F5496" w:themeColor="accent1" w:themeShade="BF"/>
      <w:sz w:val="32"/>
      <w:szCs w:val="32"/>
      <w:lang w:bidi="ar-SA"/>
    </w:rPr>
  </w:style>
  <w:style w:type="paragraph" w:styleId="TOC1">
    <w:name w:val="toc 1"/>
    <w:basedOn w:val="Normal"/>
    <w:next w:val="Normal"/>
    <w:autoRedefine/>
    <w:uiPriority w:val="39"/>
    <w:unhideWhenUsed/>
    <w:rsid w:val="0006549B"/>
    <w:pPr>
      <w:spacing w:after="100"/>
    </w:pPr>
  </w:style>
  <w:style w:type="paragraph" w:styleId="TOC3">
    <w:name w:val="toc 3"/>
    <w:basedOn w:val="Normal"/>
    <w:next w:val="Normal"/>
    <w:autoRedefine/>
    <w:uiPriority w:val="39"/>
    <w:unhideWhenUsed/>
    <w:rsid w:val="0006549B"/>
    <w:pPr>
      <w:spacing w:after="100"/>
      <w:ind w:left="440"/>
    </w:pPr>
  </w:style>
  <w:style w:type="paragraph" w:styleId="TOC2">
    <w:name w:val="toc 2"/>
    <w:basedOn w:val="Normal"/>
    <w:next w:val="Normal"/>
    <w:autoRedefine/>
    <w:uiPriority w:val="39"/>
    <w:unhideWhenUsed/>
    <w:rsid w:val="00B0213F"/>
    <w:pPr>
      <w:spacing w:after="100"/>
      <w:ind w:left="220"/>
    </w:pPr>
  </w:style>
  <w:style w:type="paragraph" w:styleId="Header">
    <w:name w:val="header"/>
    <w:basedOn w:val="Normal"/>
    <w:link w:val="HeaderChar"/>
    <w:uiPriority w:val="99"/>
    <w:unhideWhenUsed/>
    <w:rsid w:val="00F1112F"/>
    <w:pPr>
      <w:tabs>
        <w:tab w:val="center" w:pos="4680"/>
        <w:tab w:val="right" w:pos="9360"/>
      </w:tabs>
      <w:spacing w:before="0" w:after="0"/>
    </w:pPr>
  </w:style>
  <w:style w:type="character" w:customStyle="1" w:styleId="HeaderChar">
    <w:name w:val="Header Char"/>
    <w:basedOn w:val="DefaultParagraphFont"/>
    <w:link w:val="Header"/>
    <w:uiPriority w:val="99"/>
    <w:rsid w:val="00F1112F"/>
    <w:rPr>
      <w:lang w:bidi="en-US"/>
    </w:rPr>
  </w:style>
  <w:style w:type="paragraph" w:styleId="Footer">
    <w:name w:val="footer"/>
    <w:basedOn w:val="Normal"/>
    <w:link w:val="FooterChar"/>
    <w:uiPriority w:val="99"/>
    <w:unhideWhenUsed/>
    <w:rsid w:val="00F1112F"/>
    <w:pPr>
      <w:tabs>
        <w:tab w:val="center" w:pos="4680"/>
        <w:tab w:val="right" w:pos="9360"/>
      </w:tabs>
      <w:spacing w:before="0" w:after="0"/>
    </w:pPr>
  </w:style>
  <w:style w:type="character" w:customStyle="1" w:styleId="FooterChar">
    <w:name w:val="Footer Char"/>
    <w:basedOn w:val="DefaultParagraphFont"/>
    <w:link w:val="Footer"/>
    <w:uiPriority w:val="99"/>
    <w:rsid w:val="00F1112F"/>
    <w:rPr>
      <w:lang w:bidi="en-US"/>
    </w:rPr>
  </w:style>
  <w:style w:type="paragraph" w:styleId="BalloonText">
    <w:name w:val="Balloon Text"/>
    <w:basedOn w:val="Normal"/>
    <w:link w:val="BalloonTextChar"/>
    <w:uiPriority w:val="99"/>
    <w:semiHidden/>
    <w:unhideWhenUsed/>
    <w:rsid w:val="008F47D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7DC"/>
    <w:rPr>
      <w:rFonts w:ascii="Segoe UI" w:hAnsi="Segoe UI" w:cs="Segoe UI"/>
      <w:sz w:val="18"/>
      <w:szCs w:val="18"/>
      <w:lang w:bidi="en-US"/>
    </w:rPr>
  </w:style>
  <w:style w:type="table" w:styleId="TableGrid">
    <w:name w:val="Table Grid"/>
    <w:basedOn w:val="TableNormal"/>
    <w:uiPriority w:val="39"/>
    <w:rsid w:val="007450B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ackPageLegal7pt">
    <w:name w:val="Back Page: Legal 7pt"/>
    <w:uiPriority w:val="70"/>
    <w:rsid w:val="007450B6"/>
    <w:pPr>
      <w:spacing w:after="120" w:line="180" w:lineRule="atLeast"/>
    </w:pPr>
    <w:rPr>
      <w:rFonts w:ascii="MetricHPE Light" w:eastAsia="Times New Roman" w:hAnsi="MetricHPE Light" w:cs="Times New Roman"/>
      <w:color w:val="000000"/>
      <w:sz w:val="1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isystems.com" TargetMode="External"/><Relationship Id="rId13" Type="http://schemas.openxmlformats.org/officeDocument/2006/relationships/hyperlink" Target="https://www.youtube.com/channel/UCCu3THpZQfEV3vO9aEC2QNw?view_as=subscribe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OLISystems" TargetMode="External"/><Relationship Id="rId5" Type="http://schemas.openxmlformats.org/officeDocument/2006/relationships/webSettings" Target="webSettings.xml"/><Relationship Id="rId15" Type="http://schemas.openxmlformats.org/officeDocument/2006/relationships/hyperlink" Target="mailto:sales@olisystems.com" TargetMode="Externa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linkedin.com/company/oli-systems-inc-/" TargetMode="Externa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07D3F-D798-4B9F-ACC3-BC7FFBE32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6</Pages>
  <Words>1700</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prodip kundu</dc:creator>
  <cp:keywords/>
  <dc:description/>
  <cp:lastModifiedBy>Dira Silvera</cp:lastModifiedBy>
  <cp:revision>6</cp:revision>
  <cp:lastPrinted>2018-05-12T17:24:00Z</cp:lastPrinted>
  <dcterms:created xsi:type="dcterms:W3CDTF">2018-05-12T17:18:00Z</dcterms:created>
  <dcterms:modified xsi:type="dcterms:W3CDTF">2020-08-13T22:35:00Z</dcterms:modified>
</cp:coreProperties>
</file>